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D314" w14:textId="3F2213B8" w:rsidR="00DE532C" w:rsidRPr="00DE532C" w:rsidRDefault="00DE532C" w:rsidP="00EA25AD">
      <w:pPr>
        <w:jc w:val="center"/>
        <w:rPr>
          <w:b/>
          <w:color w:val="F3923D"/>
          <w:sz w:val="32"/>
          <w:szCs w:val="32"/>
          <w:lang w:val="en-GB"/>
        </w:rPr>
      </w:pPr>
      <w:r w:rsidRPr="00DE532C">
        <w:rPr>
          <w:b/>
          <w:color w:val="F3923D"/>
          <w:sz w:val="32"/>
          <w:szCs w:val="32"/>
          <w:lang w:val="en-GB"/>
        </w:rPr>
        <w:t>The smartEn Map 2024 W</w:t>
      </w:r>
      <w:r>
        <w:rPr>
          <w:b/>
          <w:color w:val="F3923D"/>
          <w:sz w:val="32"/>
          <w:szCs w:val="32"/>
          <w:lang w:val="en-GB"/>
        </w:rPr>
        <w:t>h</w:t>
      </w:r>
      <w:r w:rsidRPr="00DE532C">
        <w:rPr>
          <w:b/>
          <w:color w:val="F3923D"/>
          <w:sz w:val="32"/>
          <w:szCs w:val="32"/>
          <w:lang w:val="en-GB"/>
        </w:rPr>
        <w:t>olesale M</w:t>
      </w:r>
      <w:r>
        <w:rPr>
          <w:b/>
          <w:color w:val="F3923D"/>
          <w:sz w:val="32"/>
          <w:szCs w:val="32"/>
          <w:lang w:val="en-GB"/>
        </w:rPr>
        <w:t>arkets</w:t>
      </w:r>
    </w:p>
    <w:p w14:paraId="08BD9CEA" w14:textId="128D5A31" w:rsidR="00EA25AD" w:rsidRPr="00D53A76" w:rsidRDefault="00EA25AD" w:rsidP="00EA25AD">
      <w:pPr>
        <w:jc w:val="center"/>
        <w:rPr>
          <w:b/>
          <w:color w:val="F3923D"/>
          <w:sz w:val="32"/>
          <w:szCs w:val="32"/>
          <w:lang w:val="en-GB"/>
        </w:rPr>
      </w:pPr>
      <w:r w:rsidRPr="00D53A76">
        <w:rPr>
          <w:b/>
          <w:color w:val="F3923D"/>
          <w:sz w:val="32"/>
          <w:szCs w:val="32"/>
          <w:lang w:val="en-GB"/>
        </w:rPr>
        <w:t>Questionnaire</w:t>
      </w:r>
    </w:p>
    <w:p w14:paraId="6D39829D" w14:textId="77777777" w:rsidR="00EA25AD" w:rsidRDefault="00EA25AD" w:rsidP="00EA25AD">
      <w:r w:rsidRPr="00EA25AD">
        <w:rPr>
          <w:b/>
          <w:bCs/>
        </w:rPr>
        <w:t>Introduction</w:t>
      </w:r>
      <w:r>
        <w:t xml:space="preserve"> </w:t>
      </w:r>
    </w:p>
    <w:p w14:paraId="5254B76C" w14:textId="77777777" w:rsidR="00EA25AD" w:rsidRDefault="00EA25AD" w:rsidP="00EA25AD">
      <w:r>
        <w:t xml:space="preserve">Dear Reader, </w:t>
      </w:r>
    </w:p>
    <w:p w14:paraId="170D83C7" w14:textId="77777777" w:rsidR="00EA25AD" w:rsidRDefault="00EA25AD" w:rsidP="00EA25AD">
      <w:r>
        <w:t>The objective of the following questionnaire is to gather information on the participation of Decentralised Energy Resources in wholesale electricity markets in the country of your activity, in particular Day-Ahead and Intraday Markets. Your replies will be used as a source for the drafting of the 2024 smartEn Map.</w:t>
      </w:r>
    </w:p>
    <w:p w14:paraId="7C851F17" w14:textId="77777777" w:rsidR="00EA25AD" w:rsidRDefault="00EA25AD" w:rsidP="00EA25AD"/>
    <w:p w14:paraId="1A069F3B" w14:textId="63F7F923" w:rsidR="00EA25AD" w:rsidRDefault="00EA25AD" w:rsidP="00EA25AD">
      <w:r>
        <w:t xml:space="preserve">The </w:t>
      </w:r>
      <w:r w:rsidR="007C4320">
        <w:t>questionnaire</w:t>
      </w:r>
      <w:r>
        <w:t xml:space="preserve"> will follow </w:t>
      </w:r>
      <w:r w:rsidR="007C4320">
        <w:t>five</w:t>
      </w:r>
      <w:r>
        <w:t xml:space="preserve"> sections for each country:</w:t>
      </w:r>
    </w:p>
    <w:p w14:paraId="0B17673D" w14:textId="77777777" w:rsidR="00EA25AD" w:rsidRDefault="00EA25AD" w:rsidP="00EA25AD">
      <w:pPr>
        <w:pStyle w:val="ListParagraph"/>
        <w:numPr>
          <w:ilvl w:val="0"/>
          <w:numId w:val="8"/>
        </w:numPr>
        <w:spacing w:after="0" w:line="240" w:lineRule="auto"/>
      </w:pPr>
      <w:r>
        <w:t>Access to wholesale markets</w:t>
      </w:r>
    </w:p>
    <w:p w14:paraId="79EB99D0" w14:textId="00D4B203" w:rsidR="007C4320" w:rsidRDefault="00512C33" w:rsidP="00EA25AD">
      <w:pPr>
        <w:pStyle w:val="ListParagraph"/>
        <w:numPr>
          <w:ilvl w:val="0"/>
          <w:numId w:val="8"/>
        </w:numPr>
        <w:spacing w:after="0" w:line="240" w:lineRule="auto"/>
      </w:pPr>
      <w:r>
        <w:t>Maturity of the wholesale markets</w:t>
      </w:r>
      <w:r w:rsidDel="00512C33">
        <w:t xml:space="preserve"> </w:t>
      </w:r>
    </w:p>
    <w:p w14:paraId="1BE0499B" w14:textId="77777777" w:rsidR="00EA25AD" w:rsidRDefault="00EA25AD" w:rsidP="00EA25AD">
      <w:pPr>
        <w:pStyle w:val="ListParagraph"/>
        <w:numPr>
          <w:ilvl w:val="0"/>
          <w:numId w:val="8"/>
        </w:numPr>
        <w:spacing w:after="0" w:line="240" w:lineRule="auto"/>
      </w:pPr>
      <w:r>
        <w:t>Participating technologies and traded volumes</w:t>
      </w:r>
    </w:p>
    <w:p w14:paraId="06748CDD" w14:textId="77777777" w:rsidR="00EA25AD" w:rsidRDefault="00EA25AD" w:rsidP="00EA25AD">
      <w:pPr>
        <w:pStyle w:val="ListParagraph"/>
        <w:numPr>
          <w:ilvl w:val="0"/>
          <w:numId w:val="8"/>
        </w:numPr>
        <w:spacing w:after="0" w:line="240" w:lineRule="auto"/>
      </w:pPr>
      <w:r>
        <w:t>Benefits observed</w:t>
      </w:r>
    </w:p>
    <w:p w14:paraId="404CADB0" w14:textId="77777777" w:rsidR="00EA25AD" w:rsidRPr="003133EE" w:rsidRDefault="00EA25AD" w:rsidP="00EA25AD">
      <w:pPr>
        <w:pStyle w:val="ListParagraph"/>
        <w:numPr>
          <w:ilvl w:val="0"/>
          <w:numId w:val="8"/>
        </w:numPr>
        <w:spacing w:after="0" w:line="240" w:lineRule="auto"/>
      </w:pPr>
      <w:r>
        <w:t>Roadmap</w:t>
      </w:r>
    </w:p>
    <w:p w14:paraId="58B003A4" w14:textId="77777777" w:rsidR="00EA25AD" w:rsidRDefault="00EA25AD" w:rsidP="00EA25AD"/>
    <w:p w14:paraId="73888816" w14:textId="77777777" w:rsidR="00EA25AD" w:rsidRDefault="00EA25AD" w:rsidP="00EA25AD">
      <w:r>
        <w:t xml:space="preserve">Please answer the following questions as detailed as possible and provide sources if relevant (for example newly introduced legislation or links for us to further investigate). </w:t>
      </w:r>
    </w:p>
    <w:p w14:paraId="57D9A834" w14:textId="77777777" w:rsidR="00EA25AD" w:rsidRDefault="00EA25AD" w:rsidP="00EA25AD"/>
    <w:p w14:paraId="5416C89A" w14:textId="77777777" w:rsidR="00EA25AD" w:rsidRDefault="00EA25AD" w:rsidP="00EA25AD">
      <w:r>
        <w:t>Please send your contribution to Quentin Donnette (</w:t>
      </w:r>
      <w:hyperlink r:id="rId9">
        <w:r>
          <w:rPr>
            <w:color w:val="1155CC"/>
            <w:u w:val="single"/>
          </w:rPr>
          <w:t>quentin.donnette@smarten.eu</w:t>
        </w:r>
      </w:hyperlink>
      <w:r>
        <w:t xml:space="preserve">).  We thank you for your collaboration!  </w:t>
      </w:r>
    </w:p>
    <w:p w14:paraId="091AA380" w14:textId="77777777" w:rsidR="00EA25AD" w:rsidRDefault="00EA25AD" w:rsidP="00EA25AD"/>
    <w:p w14:paraId="5DFF1A06" w14:textId="7F918982" w:rsidR="00EA25AD" w:rsidRDefault="00EA25AD" w:rsidP="00EA25AD">
      <w:r>
        <w:rPr>
          <w:b/>
        </w:rPr>
        <w:t>Organisation responding</w:t>
      </w:r>
      <w:r>
        <w:t xml:space="preserve">: </w:t>
      </w:r>
      <w:r w:rsidR="00B57485">
        <w:t>Estonian Competition Authority</w:t>
      </w:r>
    </w:p>
    <w:p w14:paraId="1BD9CB08" w14:textId="77777777" w:rsidR="007029D4" w:rsidRDefault="007029D4" w:rsidP="00EA25AD"/>
    <w:p w14:paraId="1E963EAF" w14:textId="571E281E" w:rsidR="00EA25AD" w:rsidRDefault="00EA25AD" w:rsidP="00EA25AD">
      <w:pPr>
        <w:pBdr>
          <w:top w:val="nil"/>
          <w:left w:val="nil"/>
          <w:bottom w:val="nil"/>
          <w:right w:val="nil"/>
          <w:between w:val="nil"/>
        </w:pBdr>
        <w:rPr>
          <w:color w:val="000000"/>
        </w:rPr>
      </w:pPr>
      <w:r>
        <w:rPr>
          <w:b/>
          <w:color w:val="000000"/>
        </w:rPr>
        <w:t>Country for which you are responding</w:t>
      </w:r>
      <w:r>
        <w:rPr>
          <w:color w:val="000000"/>
        </w:rPr>
        <w:t>:</w:t>
      </w:r>
      <w:r w:rsidR="00B57485">
        <w:rPr>
          <w:color w:val="000000"/>
        </w:rPr>
        <w:t xml:space="preserve"> Estonia</w:t>
      </w:r>
    </w:p>
    <w:p w14:paraId="04EF85A3" w14:textId="191A940D" w:rsidR="00EA25AD" w:rsidRDefault="00B57485" w:rsidP="00EA25AD">
      <w:pPr>
        <w:rPr>
          <w:b/>
          <w:color w:val="FF0000"/>
        </w:rPr>
      </w:pPr>
      <w:r>
        <w:rPr>
          <w:b/>
          <w:color w:val="FF0000"/>
        </w:rPr>
        <w:t xml:space="preserve">Please see ticked answers in </w:t>
      </w:r>
      <w:r w:rsidRPr="00B57485">
        <w:rPr>
          <w:b/>
          <w:color w:val="FF0000"/>
          <w:highlight w:val="green"/>
        </w:rPr>
        <w:t>green.</w:t>
      </w:r>
    </w:p>
    <w:p w14:paraId="73E66B52" w14:textId="77777777" w:rsidR="00EA25AD" w:rsidRDefault="00EA25AD" w:rsidP="00EA25AD">
      <w:pPr>
        <w:ind w:left="720" w:firstLine="720"/>
        <w:rPr>
          <w:b/>
          <w:color w:val="FF0000"/>
        </w:rPr>
      </w:pPr>
      <w:r>
        <w:rPr>
          <w:color w:val="2F5496"/>
          <w:sz w:val="32"/>
          <w:szCs w:val="32"/>
        </w:rPr>
        <w:t>Access to wholesale markets</w:t>
      </w:r>
    </w:p>
    <w:p w14:paraId="06D82A6C" w14:textId="68CC839F" w:rsidR="008D5DB5" w:rsidRPr="002F36B5" w:rsidRDefault="00EA25AD" w:rsidP="002F36B5">
      <w:pPr>
        <w:ind w:firstLine="720"/>
        <w:rPr>
          <w:rFonts w:asciiTheme="minorHAnsi" w:eastAsiaTheme="majorEastAsia" w:hAnsiTheme="minorHAnsi" w:cstheme="minorHAnsi"/>
          <w:i/>
          <w:iCs/>
          <w:color w:val="2F5496"/>
        </w:rPr>
      </w:pPr>
      <w:r w:rsidRPr="002F36B5">
        <w:rPr>
          <w:rFonts w:asciiTheme="minorHAnsi" w:eastAsiaTheme="majorEastAsia" w:hAnsiTheme="minorHAnsi" w:cstheme="minorHAnsi"/>
          <w:i/>
          <w:iCs/>
          <w:color w:val="2F5496"/>
        </w:rPr>
        <w:t>Please mark those participants with access to Day-ahead markets</w:t>
      </w:r>
    </w:p>
    <w:p w14:paraId="22615538" w14:textId="5BE7AF9C" w:rsidR="00EA25AD" w:rsidRDefault="00EA25AD" w:rsidP="00EA25AD">
      <w:pPr>
        <w:ind w:left="360"/>
      </w:pPr>
      <w:r w:rsidRPr="006D0AA9">
        <w:rPr>
          <w:rFonts w:ascii="MS Gothic" w:eastAsia="MS Gothic" w:hAnsi="MS Gothic" w:cs="MS Gothic"/>
          <w:highlight w:val="green"/>
        </w:rPr>
        <w:t>☐</w:t>
      </w:r>
      <w:r>
        <w:t xml:space="preserve"> </w:t>
      </w:r>
      <w:r w:rsidR="00A26A61">
        <w:t>Suppliers</w:t>
      </w:r>
      <w:r>
        <w:tab/>
      </w:r>
    </w:p>
    <w:p w14:paraId="0B0EFAB2" w14:textId="77777777" w:rsidR="00EA25AD" w:rsidRDefault="00EA25AD" w:rsidP="00EA25AD">
      <w:pPr>
        <w:ind w:left="360"/>
      </w:pPr>
      <w:r w:rsidRPr="006D0AA9">
        <w:rPr>
          <w:rFonts w:ascii="MS Gothic" w:eastAsia="MS Gothic" w:hAnsi="MS Gothic" w:cs="MS Gothic"/>
          <w:highlight w:val="green"/>
        </w:rPr>
        <w:t>☐</w:t>
      </w:r>
      <w:r>
        <w:t xml:space="preserve"> Independent aggregators</w:t>
      </w:r>
    </w:p>
    <w:p w14:paraId="069EF85F" w14:textId="6E49DE35" w:rsidR="00EA25AD" w:rsidRPr="00B96783" w:rsidRDefault="00EA25AD" w:rsidP="00FC35E5">
      <w:pPr>
        <w:ind w:left="360"/>
      </w:pPr>
      <w:r w:rsidRPr="006D0AA9">
        <w:rPr>
          <w:rFonts w:ascii="Segoe UI Symbol" w:hAnsi="Segoe UI Symbol" w:cs="Segoe UI Symbol"/>
          <w:highlight w:val="green"/>
        </w:rPr>
        <w:t>☐</w:t>
      </w:r>
      <w:r>
        <w:rPr>
          <w:rFonts w:ascii="Segoe UI Symbol" w:hAnsi="Segoe UI Symbol" w:cs="Segoe UI Symbol"/>
        </w:rPr>
        <w:t xml:space="preserve"> </w:t>
      </w:r>
      <w:r w:rsidR="00FC35E5">
        <w:t>Large consumers</w:t>
      </w:r>
    </w:p>
    <w:p w14:paraId="0C94B89E" w14:textId="5396D9CF" w:rsidR="00EA25AD" w:rsidRDefault="00EA25AD" w:rsidP="00F6609C">
      <w:pPr>
        <w:ind w:left="360"/>
      </w:pPr>
      <w:r w:rsidRPr="006D0AA9">
        <w:rPr>
          <w:rFonts w:ascii="Segoe UI Symbol" w:hAnsi="Segoe UI Symbol" w:cs="Segoe UI Symbol"/>
          <w:highlight w:val="green"/>
        </w:rPr>
        <w:t>☐</w:t>
      </w:r>
      <w:r>
        <w:rPr>
          <w:rFonts w:ascii="Segoe UI Symbol" w:hAnsi="Segoe UI Symbol" w:cs="Segoe UI Symbol"/>
        </w:rPr>
        <w:t xml:space="preserve"> </w:t>
      </w:r>
      <w:r w:rsidRPr="00B96783">
        <w:t>Energy communities</w:t>
      </w:r>
    </w:p>
    <w:p w14:paraId="407B47B6" w14:textId="0AF07ABD" w:rsidR="00EA25AD" w:rsidRDefault="00EA25AD" w:rsidP="00EA25AD">
      <w:r>
        <w:lastRenderedPageBreak/>
        <w:t>Comment:</w:t>
      </w:r>
      <w:r w:rsidR="0048695D">
        <w:t xml:space="preserve"> Independent aggregators legally have access to DA market, but framework for demand response in DA market is still under development (compensation mechanism, market model etc), therefore independent aggregators do not participate in DA market.</w:t>
      </w:r>
    </w:p>
    <w:p w14:paraId="423F2C65" w14:textId="77777777" w:rsidR="00F6609C" w:rsidRPr="002F36B5" w:rsidRDefault="00F6609C" w:rsidP="002F36B5">
      <w:pPr>
        <w:ind w:firstLine="720"/>
        <w:rPr>
          <w:rFonts w:asciiTheme="minorHAnsi" w:eastAsiaTheme="majorEastAsia" w:hAnsiTheme="minorHAnsi" w:cstheme="minorHAnsi"/>
          <w:i/>
          <w:iCs/>
          <w:color w:val="2F5496"/>
        </w:rPr>
      </w:pPr>
    </w:p>
    <w:p w14:paraId="547AE170" w14:textId="77777777" w:rsidR="00EA25AD" w:rsidRPr="002F36B5" w:rsidRDefault="00EA25AD" w:rsidP="002F36B5">
      <w:pPr>
        <w:ind w:firstLine="720"/>
        <w:rPr>
          <w:rFonts w:asciiTheme="minorHAnsi" w:eastAsiaTheme="majorEastAsia" w:hAnsiTheme="minorHAnsi" w:cstheme="minorHAnsi"/>
          <w:i/>
          <w:iCs/>
          <w:color w:val="2F5496"/>
        </w:rPr>
      </w:pPr>
      <w:r w:rsidRPr="002F36B5">
        <w:rPr>
          <w:rFonts w:asciiTheme="minorHAnsi" w:eastAsiaTheme="majorEastAsia" w:hAnsiTheme="minorHAnsi" w:cstheme="minorHAnsi"/>
          <w:i/>
          <w:iCs/>
          <w:color w:val="2F5496"/>
        </w:rPr>
        <w:t xml:space="preserve">Please mark those participants with access to Intraday Markets </w:t>
      </w:r>
    </w:p>
    <w:p w14:paraId="3C6F53BD" w14:textId="77777777" w:rsidR="00FC35E5" w:rsidRDefault="00FC35E5" w:rsidP="00FC35E5">
      <w:pPr>
        <w:ind w:left="360"/>
      </w:pPr>
      <w:r w:rsidRPr="006D0AA9">
        <w:rPr>
          <w:rFonts w:ascii="MS Gothic" w:eastAsia="MS Gothic" w:hAnsi="MS Gothic" w:cs="MS Gothic"/>
          <w:highlight w:val="green"/>
        </w:rPr>
        <w:t>☐</w:t>
      </w:r>
      <w:r>
        <w:t xml:space="preserve"> Suppliers</w:t>
      </w:r>
      <w:r>
        <w:tab/>
      </w:r>
    </w:p>
    <w:p w14:paraId="15EC444B" w14:textId="77777777" w:rsidR="00FC35E5" w:rsidRDefault="00FC35E5" w:rsidP="00FC35E5">
      <w:pPr>
        <w:ind w:left="360"/>
      </w:pPr>
      <w:r w:rsidRPr="006D0AA9">
        <w:rPr>
          <w:rFonts w:ascii="MS Gothic" w:eastAsia="MS Gothic" w:hAnsi="MS Gothic" w:cs="MS Gothic"/>
          <w:highlight w:val="green"/>
        </w:rPr>
        <w:t>☐</w:t>
      </w:r>
      <w:r>
        <w:t xml:space="preserve"> Independent aggregators</w:t>
      </w:r>
    </w:p>
    <w:p w14:paraId="2404A16D" w14:textId="77777777" w:rsidR="00FC35E5" w:rsidRPr="00B96783" w:rsidRDefault="00FC35E5" w:rsidP="00FC35E5">
      <w:pPr>
        <w:ind w:left="360"/>
      </w:pPr>
      <w:r w:rsidRPr="006D0AA9">
        <w:rPr>
          <w:rFonts w:ascii="Segoe UI Symbol" w:hAnsi="Segoe UI Symbol" w:cs="Segoe UI Symbol"/>
          <w:highlight w:val="green"/>
        </w:rPr>
        <w:t>☐</w:t>
      </w:r>
      <w:r>
        <w:rPr>
          <w:rFonts w:ascii="Segoe UI Symbol" w:hAnsi="Segoe UI Symbol" w:cs="Segoe UI Symbol"/>
        </w:rPr>
        <w:t xml:space="preserve"> </w:t>
      </w:r>
      <w:r>
        <w:t>Large consumers</w:t>
      </w:r>
    </w:p>
    <w:p w14:paraId="60B1A491" w14:textId="77777777" w:rsidR="00FC35E5" w:rsidRDefault="00FC35E5" w:rsidP="00FC35E5">
      <w:pPr>
        <w:ind w:left="360"/>
      </w:pPr>
      <w:r w:rsidRPr="006D0AA9">
        <w:rPr>
          <w:rFonts w:ascii="Segoe UI Symbol" w:hAnsi="Segoe UI Symbol" w:cs="Segoe UI Symbol"/>
          <w:highlight w:val="green"/>
        </w:rPr>
        <w:t>☐</w:t>
      </w:r>
      <w:r>
        <w:rPr>
          <w:rFonts w:ascii="Segoe UI Symbol" w:hAnsi="Segoe UI Symbol" w:cs="Segoe UI Symbol"/>
        </w:rPr>
        <w:t xml:space="preserve"> </w:t>
      </w:r>
      <w:r w:rsidRPr="00B96783">
        <w:t>Energy communities</w:t>
      </w:r>
    </w:p>
    <w:p w14:paraId="5D2ECB90" w14:textId="247CBDD9" w:rsidR="00F6609C" w:rsidRDefault="00370907" w:rsidP="00F6609C">
      <w:r>
        <w:t>Comment</w:t>
      </w:r>
      <w:r w:rsidR="00F6609C">
        <w:t>:</w:t>
      </w:r>
      <w:r w:rsidR="0048695D" w:rsidRPr="0048695D">
        <w:t xml:space="preserve"> </w:t>
      </w:r>
      <w:r w:rsidR="0048695D">
        <w:t>Independent aggregators legally have access to ID markets, but framework for demand response in ID market is still under development (compensation mechanism, market model etc), therefore independent aggregators do not participate in ID market.</w:t>
      </w:r>
    </w:p>
    <w:p w14:paraId="576ADA93" w14:textId="77777777" w:rsidR="00F6609C" w:rsidRDefault="00F6609C" w:rsidP="00FC35E5">
      <w:pPr>
        <w:ind w:left="360"/>
      </w:pPr>
    </w:p>
    <w:p w14:paraId="0DEDAE77" w14:textId="2C67A692" w:rsidR="004A5140" w:rsidRDefault="004A5140" w:rsidP="002F36B5">
      <w:pPr>
        <w:ind w:firstLine="720"/>
        <w:rPr>
          <w:rFonts w:asciiTheme="minorHAnsi" w:eastAsiaTheme="majorEastAsia" w:hAnsiTheme="minorHAnsi" w:cstheme="minorHAnsi"/>
          <w:i/>
          <w:iCs/>
          <w:color w:val="2F5496"/>
        </w:rPr>
      </w:pPr>
      <w:r w:rsidRPr="002F36B5">
        <w:rPr>
          <w:rFonts w:asciiTheme="minorHAnsi" w:eastAsiaTheme="majorEastAsia" w:hAnsiTheme="minorHAnsi" w:cstheme="minorHAnsi"/>
          <w:i/>
          <w:iCs/>
          <w:color w:val="2F5496"/>
        </w:rPr>
        <w:t>Are the Day-Ahead or Intraday markets linked to local flexibility markets in any way? (e.g., GOPACS in The Netherlands)</w:t>
      </w:r>
    </w:p>
    <w:p w14:paraId="3CDCA131" w14:textId="77777777" w:rsidR="002F36B5" w:rsidRDefault="00E86B66" w:rsidP="002F36B5">
      <w:pPr>
        <w:ind w:left="360"/>
      </w:pPr>
      <w:sdt>
        <w:sdtPr>
          <w:tag w:val="goog_rdk_2"/>
          <w:id w:val="282400070"/>
        </w:sdtPr>
        <w:sdtEndPr/>
        <w:sdtContent>
          <w:r w:rsidR="002F36B5">
            <w:rPr>
              <w:rFonts w:ascii="Arial Unicode MS" w:eastAsia="Arial Unicode MS" w:hAnsi="Arial Unicode MS" w:cs="Arial Unicode MS"/>
            </w:rPr>
            <w:t>☐</w:t>
          </w:r>
        </w:sdtContent>
      </w:sdt>
      <w:r w:rsidR="002F36B5">
        <w:t xml:space="preserve"> Yes</w:t>
      </w:r>
      <w:r w:rsidR="002F36B5">
        <w:tab/>
      </w:r>
    </w:p>
    <w:p w14:paraId="73C284BB" w14:textId="3B2C2303" w:rsidR="002F36B5" w:rsidRPr="002F36B5" w:rsidRDefault="00E86B66" w:rsidP="002F36B5">
      <w:pPr>
        <w:ind w:left="360"/>
      </w:pPr>
      <w:sdt>
        <w:sdtPr>
          <w:tag w:val="goog_rdk_3"/>
          <w:id w:val="1936700454"/>
        </w:sdtPr>
        <w:sdtEndPr/>
        <w:sdtContent>
          <w:r w:rsidR="002F36B5" w:rsidRPr="00CE05DB">
            <w:rPr>
              <w:rFonts w:ascii="Arial Unicode MS" w:eastAsia="Arial Unicode MS" w:hAnsi="Arial Unicode MS" w:cs="Arial Unicode MS"/>
              <w:highlight w:val="green"/>
            </w:rPr>
            <w:t>☐</w:t>
          </w:r>
        </w:sdtContent>
      </w:sdt>
      <w:r w:rsidR="002F36B5">
        <w:t xml:space="preserve"> No</w:t>
      </w:r>
    </w:p>
    <w:p w14:paraId="4C291D75" w14:textId="5BD91690" w:rsidR="004A5140" w:rsidRDefault="00370907" w:rsidP="004A5140">
      <w:r>
        <w:t>Comment</w:t>
      </w:r>
      <w:r w:rsidR="004A5140">
        <w:t>:</w:t>
      </w:r>
    </w:p>
    <w:p w14:paraId="75BB94E5" w14:textId="7B555898" w:rsidR="004A5140" w:rsidRDefault="004A5140" w:rsidP="00EA25AD"/>
    <w:p w14:paraId="37C44A1A" w14:textId="77777777" w:rsidR="008D5DB5" w:rsidRDefault="004A5140" w:rsidP="008D5DB5">
      <w:pPr>
        <w:ind w:firstLine="720"/>
        <w:rPr>
          <w:rFonts w:asciiTheme="minorHAnsi" w:eastAsiaTheme="majorEastAsia" w:hAnsiTheme="minorHAnsi" w:cstheme="minorHAnsi"/>
          <w:i/>
          <w:iCs/>
          <w:color w:val="2F5496"/>
        </w:rPr>
      </w:pPr>
      <w:r w:rsidRPr="002F36B5">
        <w:rPr>
          <w:rFonts w:asciiTheme="minorHAnsi" w:eastAsiaTheme="majorEastAsia" w:hAnsiTheme="minorHAnsi" w:cstheme="minorHAnsi"/>
          <w:i/>
          <w:iCs/>
          <w:color w:val="2F5496"/>
        </w:rPr>
        <w:t>Are SOs allowed to purchase products for congestion management and/or voltage in DA/ID markets?</w:t>
      </w:r>
    </w:p>
    <w:p w14:paraId="405A9E27" w14:textId="77777777" w:rsidR="002F36B5" w:rsidRDefault="00E86B66" w:rsidP="002F36B5">
      <w:pPr>
        <w:ind w:left="360"/>
      </w:pPr>
      <w:sdt>
        <w:sdtPr>
          <w:tag w:val="goog_rdk_2"/>
          <w:id w:val="-1153361427"/>
        </w:sdtPr>
        <w:sdtEndPr/>
        <w:sdtContent>
          <w:r w:rsidR="002F36B5" w:rsidRPr="00CE05DB">
            <w:rPr>
              <w:rFonts w:ascii="Arial Unicode MS" w:eastAsia="Arial Unicode MS" w:hAnsi="Arial Unicode MS" w:cs="Arial Unicode MS"/>
              <w:highlight w:val="green"/>
            </w:rPr>
            <w:t>☐</w:t>
          </w:r>
        </w:sdtContent>
      </w:sdt>
      <w:r w:rsidR="002F36B5">
        <w:t xml:space="preserve"> Yes</w:t>
      </w:r>
      <w:r w:rsidR="002F36B5">
        <w:tab/>
      </w:r>
    </w:p>
    <w:p w14:paraId="0D8FB862" w14:textId="096E5B1D" w:rsidR="002F36B5" w:rsidRPr="002F36B5" w:rsidRDefault="00E86B66" w:rsidP="002F36B5">
      <w:pPr>
        <w:ind w:left="360"/>
      </w:pPr>
      <w:sdt>
        <w:sdtPr>
          <w:tag w:val="goog_rdk_3"/>
          <w:id w:val="-150763195"/>
        </w:sdtPr>
        <w:sdtEndPr/>
        <w:sdtContent>
          <w:r w:rsidR="002F36B5">
            <w:rPr>
              <w:rFonts w:ascii="Arial Unicode MS" w:eastAsia="Arial Unicode MS" w:hAnsi="Arial Unicode MS" w:cs="Arial Unicode MS"/>
            </w:rPr>
            <w:t>☐</w:t>
          </w:r>
        </w:sdtContent>
      </w:sdt>
      <w:r w:rsidR="002F36B5">
        <w:t xml:space="preserve"> No</w:t>
      </w:r>
    </w:p>
    <w:p w14:paraId="0F9252B4" w14:textId="60289F5F" w:rsidR="004A5140" w:rsidRPr="008D5DB5" w:rsidRDefault="00370907" w:rsidP="008D5DB5">
      <w:pPr>
        <w:rPr>
          <w:i/>
          <w:color w:val="2F5496"/>
        </w:rPr>
      </w:pPr>
      <w:r>
        <w:t>Comment</w:t>
      </w:r>
      <w:r w:rsidR="004A5140">
        <w:t>:</w:t>
      </w:r>
    </w:p>
    <w:p w14:paraId="156D7ABB" w14:textId="77777777" w:rsidR="00F6609C" w:rsidRDefault="00F6609C" w:rsidP="00EA25AD"/>
    <w:p w14:paraId="316FC189" w14:textId="3FB30C08" w:rsidR="004A5140" w:rsidRDefault="004A5140" w:rsidP="002F36B5">
      <w:pPr>
        <w:pStyle w:val="Heading4"/>
        <w:ind w:firstLine="720"/>
        <w:rPr>
          <w:rFonts w:asciiTheme="minorHAnsi" w:hAnsiTheme="minorHAnsi" w:cstheme="minorHAnsi"/>
          <w:color w:val="2F5496"/>
        </w:rPr>
      </w:pPr>
      <w:r w:rsidRPr="002F36B5">
        <w:rPr>
          <w:rFonts w:asciiTheme="minorHAnsi" w:hAnsiTheme="minorHAnsi" w:cstheme="minorHAnsi"/>
          <w:color w:val="2F5496"/>
        </w:rPr>
        <w:t>Do any of the markets include locational information in the bids (either for buying or selling)?</w:t>
      </w:r>
    </w:p>
    <w:p w14:paraId="6F65B52D" w14:textId="77777777" w:rsidR="002F36B5" w:rsidRDefault="00E86B66" w:rsidP="002F36B5">
      <w:pPr>
        <w:ind w:left="360"/>
      </w:pPr>
      <w:sdt>
        <w:sdtPr>
          <w:tag w:val="goog_rdk_2"/>
          <w:id w:val="880127261"/>
        </w:sdtPr>
        <w:sdtEndPr/>
        <w:sdtContent>
          <w:r w:rsidR="002F36B5">
            <w:rPr>
              <w:rFonts w:ascii="Arial Unicode MS" w:eastAsia="Arial Unicode MS" w:hAnsi="Arial Unicode MS" w:cs="Arial Unicode MS"/>
            </w:rPr>
            <w:t>☐</w:t>
          </w:r>
        </w:sdtContent>
      </w:sdt>
      <w:r w:rsidR="002F36B5">
        <w:t xml:space="preserve"> Yes</w:t>
      </w:r>
      <w:r w:rsidR="002F36B5">
        <w:tab/>
      </w:r>
    </w:p>
    <w:p w14:paraId="3FB83E4B" w14:textId="21ACC305" w:rsidR="002F36B5" w:rsidRPr="002F36B5" w:rsidRDefault="00E86B66" w:rsidP="002F36B5">
      <w:pPr>
        <w:ind w:left="360"/>
      </w:pPr>
      <w:sdt>
        <w:sdtPr>
          <w:tag w:val="goog_rdk_3"/>
          <w:id w:val="-1770300916"/>
        </w:sdtPr>
        <w:sdtEndPr/>
        <w:sdtContent>
          <w:r w:rsidR="002F36B5" w:rsidRPr="00CE05DB">
            <w:rPr>
              <w:rFonts w:ascii="Arial Unicode MS" w:eastAsia="Arial Unicode MS" w:hAnsi="Arial Unicode MS" w:cs="Arial Unicode MS"/>
              <w:highlight w:val="green"/>
            </w:rPr>
            <w:t>☐</w:t>
          </w:r>
        </w:sdtContent>
      </w:sdt>
      <w:r w:rsidR="002F36B5">
        <w:t xml:space="preserve"> No</w:t>
      </w:r>
    </w:p>
    <w:p w14:paraId="36EC1C0C" w14:textId="1B097A81" w:rsidR="004A5140" w:rsidRDefault="00370907" w:rsidP="004A5140">
      <w:r>
        <w:t>Comment</w:t>
      </w:r>
      <w:r w:rsidR="004A5140">
        <w:t>:</w:t>
      </w:r>
    </w:p>
    <w:p w14:paraId="061BC91F" w14:textId="77777777" w:rsidR="004A5140" w:rsidRPr="008D5DB5" w:rsidRDefault="004A5140" w:rsidP="008D5DB5">
      <w:pPr>
        <w:pStyle w:val="Heading4"/>
        <w:ind w:firstLine="720"/>
        <w:rPr>
          <w:rFonts w:asciiTheme="minorHAnsi" w:hAnsiTheme="minorHAnsi" w:cstheme="minorHAnsi"/>
          <w:color w:val="2F5496"/>
        </w:rPr>
      </w:pPr>
    </w:p>
    <w:p w14:paraId="7CE115ED" w14:textId="77777777" w:rsidR="00EA25AD" w:rsidRPr="008D5DB5" w:rsidRDefault="00EA25AD" w:rsidP="008D5DB5">
      <w:pPr>
        <w:pStyle w:val="Heading4"/>
        <w:ind w:firstLine="720"/>
        <w:rPr>
          <w:rFonts w:asciiTheme="minorHAnsi" w:hAnsiTheme="minorHAnsi" w:cstheme="minorHAnsi"/>
          <w:color w:val="2F5496"/>
        </w:rPr>
      </w:pPr>
      <w:r w:rsidRPr="008D5DB5">
        <w:rPr>
          <w:rFonts w:asciiTheme="minorHAnsi" w:hAnsiTheme="minorHAnsi" w:cstheme="minorHAnsi"/>
          <w:color w:val="2F5496"/>
        </w:rPr>
        <w:t xml:space="preserve">How is demand-side flexibility participating? </w:t>
      </w:r>
    </w:p>
    <w:p w14:paraId="6213108B" w14:textId="3311FB5F" w:rsidR="00EA25AD" w:rsidRDefault="00EA25AD" w:rsidP="00EA25AD">
      <w:pPr>
        <w:ind w:left="360"/>
      </w:pPr>
      <w:r w:rsidRPr="00CE05DB">
        <w:rPr>
          <w:rFonts w:ascii="MS Gothic" w:eastAsia="MS Gothic" w:hAnsi="MS Gothic" w:cs="MS Gothic"/>
          <w:highlight w:val="green"/>
        </w:rPr>
        <w:t>☐</w:t>
      </w:r>
      <w:r>
        <w:t xml:space="preserve"> Direct access through explicit </w:t>
      </w:r>
      <w:r w:rsidR="00A26A61">
        <w:t xml:space="preserve">trading </w:t>
      </w:r>
      <w:r>
        <w:t>by aggregators, suppliers or consumers</w:t>
      </w:r>
    </w:p>
    <w:p w14:paraId="106E909F" w14:textId="53E5274E" w:rsidR="00EA25AD" w:rsidRDefault="00EA25AD" w:rsidP="00EA25AD">
      <w:pPr>
        <w:ind w:left="360"/>
      </w:pPr>
      <w:r w:rsidRPr="00CE05DB">
        <w:rPr>
          <w:rFonts w:ascii="MS Gothic" w:eastAsia="MS Gothic" w:hAnsi="MS Gothic" w:cs="MS Gothic"/>
          <w:highlight w:val="green"/>
        </w:rPr>
        <w:t>☐</w:t>
      </w:r>
      <w:r>
        <w:t xml:space="preserve"> </w:t>
      </w:r>
      <w:r w:rsidR="00A26A61">
        <w:t>Through a dynamic retail tariff</w:t>
      </w:r>
    </w:p>
    <w:p w14:paraId="7CAEDB5B" w14:textId="7645AD21" w:rsidR="00EA25AD" w:rsidRDefault="00EA25AD" w:rsidP="00EA25AD">
      <w:pPr>
        <w:ind w:left="360"/>
      </w:pPr>
      <w:r>
        <w:rPr>
          <w:rFonts w:ascii="MS Gothic" w:eastAsia="MS Gothic" w:hAnsi="MS Gothic" w:cs="MS Gothic"/>
        </w:rPr>
        <w:lastRenderedPageBreak/>
        <w:t>☐</w:t>
      </w:r>
      <w:r>
        <w:t xml:space="preserve"> Implicitly reflected in </w:t>
      </w:r>
      <w:r w:rsidR="008D5DB5">
        <w:t>a</w:t>
      </w:r>
      <w:r>
        <w:t xml:space="preserve"> non-dynamic</w:t>
      </w:r>
      <w:r w:rsidR="00A26A61">
        <w:t xml:space="preserve"> retail</w:t>
      </w:r>
      <w:r w:rsidR="008D5DB5">
        <w:t xml:space="preserve"> </w:t>
      </w:r>
      <w:r>
        <w:t>tariff</w:t>
      </w:r>
    </w:p>
    <w:p w14:paraId="48A754D4" w14:textId="240A0AE3" w:rsidR="00EA25AD" w:rsidRDefault="00EA25AD" w:rsidP="00F6609C">
      <w:pPr>
        <w:ind w:left="360"/>
      </w:pPr>
      <w:r>
        <w:rPr>
          <w:rFonts w:ascii="MS Gothic" w:eastAsia="MS Gothic" w:hAnsi="MS Gothic" w:cs="MS Gothic"/>
        </w:rPr>
        <w:t>☐</w:t>
      </w:r>
      <w:r>
        <w:t xml:space="preserve"> Others (please specify)</w:t>
      </w:r>
    </w:p>
    <w:p w14:paraId="566E32D0" w14:textId="76AECA6E" w:rsidR="00EA25AD" w:rsidRDefault="00370907" w:rsidP="00EA25AD">
      <w:r>
        <w:t>Comment</w:t>
      </w:r>
      <w:r w:rsidR="00EA25AD">
        <w:t xml:space="preserve">: </w:t>
      </w:r>
    </w:p>
    <w:p w14:paraId="188E2215" w14:textId="4B72BE29" w:rsidR="00F6609C" w:rsidRDefault="00CE05DB" w:rsidP="00EA25AD">
      <w:r>
        <w:t>Independent aggregators are participating on balancing market only at this time. Framework for participating in ID and DA markets is under development currently.</w:t>
      </w:r>
    </w:p>
    <w:p w14:paraId="41C59472" w14:textId="62A565C3" w:rsidR="004A5140" w:rsidRPr="008D5DB5" w:rsidRDefault="004A5140" w:rsidP="008D5DB5">
      <w:pPr>
        <w:pStyle w:val="Heading4"/>
        <w:ind w:firstLine="720"/>
        <w:rPr>
          <w:rFonts w:asciiTheme="minorHAnsi" w:hAnsiTheme="minorHAnsi" w:cstheme="minorHAnsi"/>
          <w:color w:val="2F5496"/>
        </w:rPr>
      </w:pPr>
      <w:r w:rsidRPr="008D5DB5">
        <w:rPr>
          <w:rFonts w:asciiTheme="minorHAnsi" w:hAnsiTheme="minorHAnsi" w:cstheme="minorHAnsi"/>
          <w:color w:val="2F5496"/>
        </w:rPr>
        <w:t xml:space="preserve">Can DR be provided as demand reduction and turn-up (e.g., upwards and downwards bids)? </w:t>
      </w:r>
    </w:p>
    <w:p w14:paraId="58D1E8D2" w14:textId="77777777" w:rsidR="00F6609C" w:rsidRDefault="00E86B66" w:rsidP="00F6609C">
      <w:pPr>
        <w:ind w:left="360"/>
      </w:pPr>
      <w:sdt>
        <w:sdtPr>
          <w:tag w:val="goog_rdk_2"/>
          <w:id w:val="-1667158524"/>
        </w:sdtPr>
        <w:sdtEndPr/>
        <w:sdtContent>
          <w:r w:rsidR="00F6609C" w:rsidRPr="0048695D">
            <w:rPr>
              <w:rFonts w:ascii="Arial Unicode MS" w:eastAsia="Arial Unicode MS" w:hAnsi="Arial Unicode MS" w:cs="Arial Unicode MS"/>
              <w:highlight w:val="green"/>
            </w:rPr>
            <w:t>☐</w:t>
          </w:r>
        </w:sdtContent>
      </w:sdt>
      <w:r w:rsidR="00F6609C">
        <w:t xml:space="preserve"> Yes</w:t>
      </w:r>
      <w:r w:rsidR="00F6609C">
        <w:tab/>
      </w:r>
    </w:p>
    <w:p w14:paraId="15F340E1" w14:textId="5FDE3994" w:rsidR="00F6609C" w:rsidRDefault="00E86B66" w:rsidP="00F6609C">
      <w:pPr>
        <w:ind w:left="360"/>
      </w:pPr>
      <w:sdt>
        <w:sdtPr>
          <w:tag w:val="goog_rdk_3"/>
          <w:id w:val="-1443757210"/>
        </w:sdtPr>
        <w:sdtEndPr/>
        <w:sdtContent>
          <w:r w:rsidR="00F6609C">
            <w:rPr>
              <w:rFonts w:ascii="Arial Unicode MS" w:eastAsia="Arial Unicode MS" w:hAnsi="Arial Unicode MS" w:cs="Arial Unicode MS"/>
            </w:rPr>
            <w:t>☐</w:t>
          </w:r>
        </w:sdtContent>
      </w:sdt>
      <w:r w:rsidR="00F6609C">
        <w:t xml:space="preserve"> No</w:t>
      </w:r>
    </w:p>
    <w:p w14:paraId="46F2C235" w14:textId="1DE995C7" w:rsidR="004A5140" w:rsidRDefault="00370907" w:rsidP="004A5140">
      <w:r>
        <w:t>Comment</w:t>
      </w:r>
      <w:r w:rsidR="004A5140">
        <w:t>:</w:t>
      </w:r>
      <w:r w:rsidR="0048695D">
        <w:t xml:space="preserve"> See previous comment.</w:t>
      </w:r>
    </w:p>
    <w:p w14:paraId="0B04B48A" w14:textId="77777777" w:rsidR="00EA25AD" w:rsidRDefault="00EA25AD" w:rsidP="00EA25AD"/>
    <w:p w14:paraId="4E8EBD11" w14:textId="77777777" w:rsidR="00EA25AD" w:rsidRPr="008D5DB5" w:rsidRDefault="00EA25AD" w:rsidP="00EA25AD">
      <w:pPr>
        <w:pStyle w:val="Heading4"/>
        <w:ind w:firstLine="720"/>
        <w:rPr>
          <w:rFonts w:asciiTheme="minorHAnsi" w:hAnsiTheme="minorHAnsi" w:cstheme="minorHAnsi"/>
          <w:color w:val="2F5496"/>
        </w:rPr>
      </w:pPr>
      <w:r w:rsidRPr="008D5DB5">
        <w:rPr>
          <w:rFonts w:asciiTheme="minorHAnsi" w:hAnsiTheme="minorHAnsi" w:cstheme="minorHAnsi"/>
          <w:color w:val="2F5496"/>
        </w:rPr>
        <w:t>Does the country you are replying for have a legal framework for independent aggregators?</w:t>
      </w:r>
    </w:p>
    <w:p w14:paraId="54F81216" w14:textId="77777777" w:rsidR="00EA25AD" w:rsidRDefault="00E86B66" w:rsidP="00EA25AD">
      <w:pPr>
        <w:ind w:left="360"/>
      </w:pPr>
      <w:sdt>
        <w:sdtPr>
          <w:tag w:val="goog_rdk_2"/>
          <w:id w:val="-1942675944"/>
        </w:sdtPr>
        <w:sdtEndPr/>
        <w:sdtContent>
          <w:r w:rsidR="00EA25AD" w:rsidRPr="001D7FF8">
            <w:rPr>
              <w:rFonts w:ascii="Arial Unicode MS" w:eastAsia="Arial Unicode MS" w:hAnsi="Arial Unicode MS" w:cs="Arial Unicode MS"/>
              <w:highlight w:val="green"/>
            </w:rPr>
            <w:t>☐</w:t>
          </w:r>
        </w:sdtContent>
      </w:sdt>
      <w:r w:rsidR="00EA25AD">
        <w:t xml:space="preserve"> Yes</w:t>
      </w:r>
      <w:r w:rsidR="00EA25AD">
        <w:tab/>
      </w:r>
    </w:p>
    <w:p w14:paraId="20F14089" w14:textId="1FBE4B3C" w:rsidR="00EA25AD" w:rsidRDefault="00E86B66" w:rsidP="00F6609C">
      <w:pPr>
        <w:ind w:left="360"/>
      </w:pPr>
      <w:sdt>
        <w:sdtPr>
          <w:tag w:val="goog_rdk_3"/>
          <w:id w:val="-625775032"/>
        </w:sdtPr>
        <w:sdtEndPr/>
        <w:sdtContent>
          <w:r w:rsidR="00EA25AD">
            <w:rPr>
              <w:rFonts w:ascii="Arial Unicode MS" w:eastAsia="Arial Unicode MS" w:hAnsi="Arial Unicode MS" w:cs="Arial Unicode MS"/>
            </w:rPr>
            <w:t>☐</w:t>
          </w:r>
        </w:sdtContent>
      </w:sdt>
      <w:r w:rsidR="00EA25AD">
        <w:t xml:space="preserve"> No</w:t>
      </w:r>
    </w:p>
    <w:p w14:paraId="62457EFD" w14:textId="209B8C17" w:rsidR="00EA25AD" w:rsidRDefault="00370907" w:rsidP="00EA25AD">
      <w:r>
        <w:t>Comment</w:t>
      </w:r>
      <w:r w:rsidR="00EA25AD">
        <w:t>:</w:t>
      </w:r>
      <w:r w:rsidR="001D7FF8">
        <w:t xml:space="preserve"> The legal framework is established, but the national legislation (Electricity Market Act) will be complemented this year to be in line with the </w:t>
      </w:r>
      <w:r w:rsidR="00373BF5" w:rsidRPr="00373BF5">
        <w:t>Directive (EU) 2019/944</w:t>
      </w:r>
      <w:r w:rsidR="001D7FF8">
        <w:t>.</w:t>
      </w:r>
    </w:p>
    <w:p w14:paraId="1F25AB18" w14:textId="77777777" w:rsidR="00EA25AD" w:rsidRDefault="00EA25AD" w:rsidP="00EA25AD"/>
    <w:p w14:paraId="0B5A12AA" w14:textId="50312C7D" w:rsidR="004A7600" w:rsidRPr="008D5DB5" w:rsidRDefault="004A7600" w:rsidP="004A7600">
      <w:pPr>
        <w:pStyle w:val="Heading4"/>
        <w:ind w:firstLine="720"/>
        <w:rPr>
          <w:rFonts w:asciiTheme="minorHAnsi" w:hAnsiTheme="minorHAnsi" w:cstheme="minorHAnsi"/>
          <w:b/>
          <w:i w:val="0"/>
          <w:color w:val="2F5496"/>
        </w:rPr>
      </w:pPr>
      <w:r w:rsidRPr="008D5DB5">
        <w:rPr>
          <w:rFonts w:asciiTheme="minorHAnsi" w:hAnsiTheme="minorHAnsi" w:cstheme="minorHAnsi"/>
          <w:color w:val="2F5496"/>
        </w:rPr>
        <w:t>Does the country you are replying for comply with the Electricity Market Design 2019 in terms of compensation models available / efficiency and symmetry of activations?</w:t>
      </w:r>
    </w:p>
    <w:p w14:paraId="198ABCEE" w14:textId="77777777" w:rsidR="004A7600" w:rsidRDefault="00E86B66" w:rsidP="004A7600">
      <w:pPr>
        <w:ind w:left="360"/>
      </w:pPr>
      <w:sdt>
        <w:sdtPr>
          <w:tag w:val="goog_rdk_2"/>
          <w:id w:val="-937979900"/>
        </w:sdtPr>
        <w:sdtEndPr/>
        <w:sdtContent>
          <w:r w:rsidR="004A7600">
            <w:rPr>
              <w:rFonts w:ascii="Arial Unicode MS" w:eastAsia="Arial Unicode MS" w:hAnsi="Arial Unicode MS" w:cs="Arial Unicode MS"/>
            </w:rPr>
            <w:t>☐</w:t>
          </w:r>
        </w:sdtContent>
      </w:sdt>
      <w:r w:rsidR="004A7600">
        <w:t xml:space="preserve"> Yes</w:t>
      </w:r>
      <w:r w:rsidR="004A7600">
        <w:tab/>
      </w:r>
    </w:p>
    <w:p w14:paraId="6BB126AC" w14:textId="6258FAD6" w:rsidR="004A7600" w:rsidRDefault="00E86B66" w:rsidP="00F6609C">
      <w:pPr>
        <w:ind w:left="360"/>
      </w:pPr>
      <w:sdt>
        <w:sdtPr>
          <w:tag w:val="goog_rdk_3"/>
          <w:id w:val="1150869846"/>
        </w:sdtPr>
        <w:sdtEndPr/>
        <w:sdtContent>
          <w:r w:rsidR="004A7600" w:rsidRPr="001D7FF8">
            <w:rPr>
              <w:rFonts w:ascii="Arial Unicode MS" w:eastAsia="Arial Unicode MS" w:hAnsi="Arial Unicode MS" w:cs="Arial Unicode MS"/>
              <w:highlight w:val="green"/>
            </w:rPr>
            <w:t>☐</w:t>
          </w:r>
        </w:sdtContent>
      </w:sdt>
      <w:r w:rsidR="004A7600">
        <w:t xml:space="preserve"> No</w:t>
      </w:r>
    </w:p>
    <w:p w14:paraId="06257F43" w14:textId="7D4E6D6B" w:rsidR="004A7600" w:rsidRDefault="00370907" w:rsidP="004A7600">
      <w:r>
        <w:t>Comment</w:t>
      </w:r>
      <w:r w:rsidR="004A7600">
        <w:t>:</w:t>
      </w:r>
      <w:r w:rsidR="001D7FF8">
        <w:t xml:space="preserve"> The national legislation (Electricity Market Act) will be complemented this year to be in line with the </w:t>
      </w:r>
      <w:r w:rsidR="00373BF5" w:rsidRPr="00373BF5">
        <w:t>Directive (EU) 2019/944</w:t>
      </w:r>
      <w:r w:rsidR="001D7FF8">
        <w:t>.</w:t>
      </w:r>
    </w:p>
    <w:p w14:paraId="032182E0" w14:textId="77777777" w:rsidR="00EA25AD" w:rsidRDefault="00EA25AD" w:rsidP="00EA25AD"/>
    <w:p w14:paraId="37A685F8" w14:textId="77777777" w:rsidR="00EA25AD" w:rsidRDefault="00EA25AD" w:rsidP="00EA25AD">
      <w:pPr>
        <w:ind w:firstLine="720"/>
      </w:pPr>
      <w:r>
        <w:rPr>
          <w:i/>
          <w:color w:val="2F5496"/>
        </w:rPr>
        <w:t xml:space="preserve">Are there any requirements to be (or delegate to) a Balance Responsible Party to access wholesale markets? </w:t>
      </w:r>
    </w:p>
    <w:p w14:paraId="0A6E5696" w14:textId="77777777" w:rsidR="00EA25AD" w:rsidRDefault="00E86B66" w:rsidP="00EA25AD">
      <w:pPr>
        <w:ind w:left="360"/>
      </w:pPr>
      <w:sdt>
        <w:sdtPr>
          <w:rPr>
            <w:highlight w:val="green"/>
          </w:rPr>
          <w:tag w:val="goog_rdk_2"/>
          <w:id w:val="-1040433202"/>
        </w:sdtPr>
        <w:sdtEndPr/>
        <w:sdtContent>
          <w:r w:rsidR="00EA25AD" w:rsidRPr="00797FE9">
            <w:rPr>
              <w:rFonts w:ascii="Arial Unicode MS" w:eastAsia="Arial Unicode MS" w:hAnsi="Arial Unicode MS" w:cs="Arial Unicode MS"/>
              <w:highlight w:val="green"/>
            </w:rPr>
            <w:t>☐</w:t>
          </w:r>
        </w:sdtContent>
      </w:sdt>
      <w:r w:rsidR="00EA25AD">
        <w:t xml:space="preserve"> Yes</w:t>
      </w:r>
      <w:r w:rsidR="00EA25AD">
        <w:tab/>
      </w:r>
    </w:p>
    <w:p w14:paraId="45FC7AA7" w14:textId="77777777" w:rsidR="00EA25AD" w:rsidRDefault="00E86B66" w:rsidP="00EA25AD">
      <w:pPr>
        <w:ind w:left="360"/>
      </w:pPr>
      <w:sdt>
        <w:sdtPr>
          <w:tag w:val="goog_rdk_3"/>
          <w:id w:val="73479778"/>
        </w:sdtPr>
        <w:sdtEndPr/>
        <w:sdtContent>
          <w:r w:rsidR="00EA25AD">
            <w:rPr>
              <w:rFonts w:ascii="Arial Unicode MS" w:eastAsia="Arial Unicode MS" w:hAnsi="Arial Unicode MS" w:cs="Arial Unicode MS"/>
            </w:rPr>
            <w:t>☐</w:t>
          </w:r>
        </w:sdtContent>
      </w:sdt>
      <w:r w:rsidR="00EA25AD">
        <w:t xml:space="preserve"> No</w:t>
      </w:r>
    </w:p>
    <w:p w14:paraId="01FA416C" w14:textId="3EAAB6D7" w:rsidR="00EA25AD" w:rsidRDefault="00EA25AD" w:rsidP="00EA25AD">
      <w:r>
        <w:t>Comment:</w:t>
      </w:r>
    </w:p>
    <w:p w14:paraId="0C4A7F31" w14:textId="77777777" w:rsidR="00EA25AD" w:rsidRDefault="00EA25AD" w:rsidP="00EA25AD"/>
    <w:p w14:paraId="20FE3792" w14:textId="77777777" w:rsidR="00EA25AD" w:rsidRPr="002F36B5" w:rsidRDefault="00EA25AD" w:rsidP="00EA25AD">
      <w:pPr>
        <w:pStyle w:val="Heading4"/>
        <w:ind w:firstLine="720"/>
        <w:rPr>
          <w:rFonts w:ascii="Calibri" w:eastAsia="Calibri" w:hAnsi="Calibri" w:cs="Calibri"/>
          <w:iCs w:val="0"/>
          <w:color w:val="2F5496"/>
        </w:rPr>
      </w:pPr>
      <w:r w:rsidRPr="002F36B5">
        <w:rPr>
          <w:rFonts w:ascii="Calibri" w:eastAsia="Calibri" w:hAnsi="Calibri" w:cs="Calibri"/>
          <w:iCs w:val="0"/>
          <w:color w:val="2F5496"/>
        </w:rPr>
        <w:t>What are the technical requirements to participate in wholesale markets? (e.g., minimum bid size, pooling/portfolio requirements, etc.)</w:t>
      </w:r>
    </w:p>
    <w:p w14:paraId="53A69B6D" w14:textId="3483570B" w:rsidR="00EA25AD" w:rsidRDefault="00797FE9" w:rsidP="00797FE9">
      <w:pPr>
        <w:pStyle w:val="ListParagraph"/>
        <w:numPr>
          <w:ilvl w:val="0"/>
          <w:numId w:val="9"/>
        </w:numPr>
      </w:pPr>
      <w:r w:rsidRPr="00797FE9">
        <w:t xml:space="preserve">The amount of the </w:t>
      </w:r>
      <w:r>
        <w:t>BRP’s</w:t>
      </w:r>
      <w:r w:rsidRPr="00797FE9">
        <w:t xml:space="preserve"> guarantee to ensure the fulfillment of the obligations assumed by the balance agreement is 31,955 euros, which must be valid during the validity of the balance agreement and at least four months after the end of the balance agreement</w:t>
      </w:r>
    </w:p>
    <w:p w14:paraId="663FC3EA" w14:textId="1C3525FC" w:rsidR="00797FE9" w:rsidRDefault="00797FE9" w:rsidP="00797FE9">
      <w:pPr>
        <w:pStyle w:val="Heading3"/>
        <w:shd w:val="clear" w:color="auto" w:fill="FFFFFF"/>
        <w:spacing w:before="0"/>
        <w:rPr>
          <w:rFonts w:ascii="Arial" w:hAnsi="Arial" w:cs="Arial"/>
          <w:color w:val="000000"/>
          <w:sz w:val="21"/>
          <w:szCs w:val="21"/>
        </w:rPr>
      </w:pPr>
      <w:r>
        <w:rPr>
          <w:rStyle w:val="Strong"/>
          <w:rFonts w:ascii="Arial" w:hAnsi="Arial" w:cs="Arial"/>
          <w:b w:val="0"/>
          <w:bCs w:val="0"/>
          <w:color w:val="000000"/>
          <w:sz w:val="21"/>
          <w:szCs w:val="21"/>
          <w:bdr w:val="none" w:sz="0" w:space="0" w:color="auto" w:frame="1"/>
        </w:rPr>
        <w:lastRenderedPageBreak/>
        <w:t>§ 20. </w:t>
      </w:r>
      <w:bookmarkStart w:id="0" w:name="para20"/>
      <w:r>
        <w:rPr>
          <w:rFonts w:ascii="Arial" w:hAnsi="Arial" w:cs="Arial"/>
          <w:color w:val="0061AA"/>
          <w:sz w:val="21"/>
          <w:szCs w:val="21"/>
          <w:bdr w:val="none" w:sz="0" w:space="0" w:color="auto" w:frame="1"/>
        </w:rPr>
        <w:t> </w:t>
      </w:r>
      <w:bookmarkEnd w:id="0"/>
      <w:r>
        <w:rPr>
          <w:rFonts w:ascii="Arial" w:hAnsi="Arial" w:cs="Arial"/>
          <w:color w:val="000000"/>
          <w:sz w:val="21"/>
          <w:szCs w:val="21"/>
        </w:rPr>
        <w:t xml:space="preserve">Guarantees of balance provider (Electricity Market Act </w:t>
      </w:r>
      <w:hyperlink r:id="rId10" w:history="1">
        <w:r w:rsidRPr="00354A29">
          <w:rPr>
            <w:rStyle w:val="Hyperlink"/>
            <w:rFonts w:ascii="Arial" w:hAnsi="Arial" w:cs="Arial"/>
            <w:sz w:val="21"/>
            <w:szCs w:val="21"/>
          </w:rPr>
          <w:t>https://www.riigiteataja.ee/en/eli/529052024004/consolide</w:t>
        </w:r>
      </w:hyperlink>
      <w:r>
        <w:rPr>
          <w:rFonts w:ascii="Arial" w:hAnsi="Arial" w:cs="Arial"/>
          <w:color w:val="000000"/>
          <w:sz w:val="21"/>
          <w:szCs w:val="21"/>
        </w:rPr>
        <w:t xml:space="preserve"> )</w:t>
      </w:r>
    </w:p>
    <w:p w14:paraId="374BE01E"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1" w:name="para20lg1"/>
      <w:r>
        <w:rPr>
          <w:rFonts w:ascii="Arial" w:hAnsi="Arial" w:cs="Arial"/>
          <w:color w:val="0061AA"/>
          <w:sz w:val="21"/>
          <w:szCs w:val="21"/>
          <w:bdr w:val="none" w:sz="0" w:space="0" w:color="auto" w:frame="1"/>
        </w:rPr>
        <w:t> </w:t>
      </w:r>
      <w:bookmarkEnd w:id="1"/>
      <w:r>
        <w:rPr>
          <w:rFonts w:ascii="Arial" w:hAnsi="Arial" w:cs="Arial"/>
          <w:color w:val="202020"/>
          <w:sz w:val="21"/>
          <w:szCs w:val="21"/>
        </w:rPr>
        <w:t>(1) A balance provider provides the system operator with bank guarantees which meet the requirements provided by the network code on the functioning of the electricity market and which secure unconditional performance of all the obligations of the balance provider in respect of the system operator. Such guarantees are permanent guarantees and variable guarantees.</w:t>
      </w:r>
      <w:r>
        <w:rPr>
          <w:rFonts w:ascii="Arial" w:hAnsi="Arial" w:cs="Arial"/>
          <w:color w:val="202020"/>
          <w:sz w:val="21"/>
          <w:szCs w:val="21"/>
        </w:rPr>
        <w:br/>
        <w:t>[RT I, 29.06.2018, 2 – entry into force 27.04.2019]</w:t>
      </w:r>
    </w:p>
    <w:p w14:paraId="74E1BF41" w14:textId="6C3117FE"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2" w:name="para20lg2"/>
      <w:r>
        <w:rPr>
          <w:rFonts w:ascii="Arial" w:hAnsi="Arial" w:cs="Arial"/>
          <w:color w:val="0061AA"/>
          <w:sz w:val="21"/>
          <w:szCs w:val="21"/>
          <w:bdr w:val="none" w:sz="0" w:space="0" w:color="auto" w:frame="1"/>
        </w:rPr>
        <w:t> </w:t>
      </w:r>
      <w:bookmarkEnd w:id="2"/>
      <w:r>
        <w:rPr>
          <w:rFonts w:ascii="Arial" w:hAnsi="Arial" w:cs="Arial"/>
          <w:color w:val="202020"/>
          <w:sz w:val="21"/>
          <w:szCs w:val="21"/>
        </w:rPr>
        <w:t>(2) A balance provider provides a permanent guarantee in the amount prescribed in the network code on the functioning of the electricity market.</w:t>
      </w:r>
      <w:r w:rsidR="00AF7AF2">
        <w:rPr>
          <w:rFonts w:ascii="Arial" w:hAnsi="Arial" w:cs="Arial"/>
          <w:color w:val="202020"/>
          <w:sz w:val="21"/>
          <w:szCs w:val="21"/>
        </w:rPr>
        <w:t xml:space="preserve"> (See point a) – 31,955 euros)</w:t>
      </w:r>
      <w:r>
        <w:rPr>
          <w:rFonts w:ascii="Arial" w:hAnsi="Arial" w:cs="Arial"/>
          <w:color w:val="202020"/>
          <w:sz w:val="21"/>
          <w:szCs w:val="21"/>
        </w:rPr>
        <w:br/>
        <w:t>[RT I, 29.06.2018, 2 – entry into force 27.04.2019]</w:t>
      </w:r>
    </w:p>
    <w:p w14:paraId="13731115"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3" w:name="para20lg3"/>
      <w:r>
        <w:rPr>
          <w:rFonts w:ascii="Arial" w:hAnsi="Arial" w:cs="Arial"/>
          <w:color w:val="0061AA"/>
          <w:sz w:val="21"/>
          <w:szCs w:val="21"/>
          <w:bdr w:val="none" w:sz="0" w:space="0" w:color="auto" w:frame="1"/>
        </w:rPr>
        <w:t> </w:t>
      </w:r>
      <w:bookmarkEnd w:id="3"/>
      <w:r>
        <w:rPr>
          <w:rFonts w:ascii="Arial" w:hAnsi="Arial" w:cs="Arial"/>
          <w:color w:val="202020"/>
          <w:sz w:val="21"/>
          <w:szCs w:val="21"/>
        </w:rPr>
        <w:t>(3) A balance provider provides a variable guarantee in the amount equal to the amount payable for the balancing electricity purchased by the balance provider over a period of time equal to one and a half times the period which is provided by the network code on the functioning of the electricity market as the base period for money transactions related to the balance (hereinafter, ‘transaction period’) and which precedes the provision of the variable guarantee or decision on amending the guarantee, less the amount payable for balancing electricity purchased from the balance provider over the same period of time.</w:t>
      </w:r>
      <w:r>
        <w:rPr>
          <w:rFonts w:ascii="Arial" w:hAnsi="Arial" w:cs="Arial"/>
          <w:color w:val="202020"/>
          <w:sz w:val="21"/>
          <w:szCs w:val="21"/>
        </w:rPr>
        <w:br/>
        <w:t>[RT I, 29.06.2018, 2 – entry into force 27.04.2019]</w:t>
      </w:r>
    </w:p>
    <w:p w14:paraId="40631ED5"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4" w:name="para20lg4"/>
      <w:r>
        <w:rPr>
          <w:rFonts w:ascii="Arial" w:hAnsi="Arial" w:cs="Arial"/>
          <w:color w:val="0061AA"/>
          <w:sz w:val="21"/>
          <w:szCs w:val="21"/>
          <w:bdr w:val="none" w:sz="0" w:space="0" w:color="auto" w:frame="1"/>
        </w:rPr>
        <w:t> </w:t>
      </w:r>
      <w:bookmarkEnd w:id="4"/>
      <w:r>
        <w:rPr>
          <w:rFonts w:ascii="Arial" w:hAnsi="Arial" w:cs="Arial"/>
          <w:color w:val="202020"/>
          <w:sz w:val="21"/>
          <w:szCs w:val="21"/>
        </w:rPr>
        <w:t>(4) If it is not possible to determine the amount of a variable guarantee according to the method mentioned in subsection 3 of this section, the system operator determines the amount of the variable guarantee based on the amount payable for the balancing electricity likely to be purchased by the balance provider over a period of time equal to one and half times the transaction period, less the amount payable for the balancing electricity likely to be purchased from the balance provider over the same period of time, and taking into account the economic reliability of the balance provider.</w:t>
      </w:r>
    </w:p>
    <w:p w14:paraId="35A2A0CE"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5" w:name="para20lg5"/>
      <w:r>
        <w:rPr>
          <w:rFonts w:ascii="Arial" w:hAnsi="Arial" w:cs="Arial"/>
          <w:color w:val="0061AA"/>
          <w:sz w:val="21"/>
          <w:szCs w:val="21"/>
          <w:bdr w:val="none" w:sz="0" w:space="0" w:color="auto" w:frame="1"/>
        </w:rPr>
        <w:t> </w:t>
      </w:r>
      <w:bookmarkEnd w:id="5"/>
      <w:r>
        <w:rPr>
          <w:rFonts w:ascii="Arial" w:hAnsi="Arial" w:cs="Arial"/>
          <w:color w:val="202020"/>
          <w:sz w:val="21"/>
          <w:szCs w:val="21"/>
        </w:rPr>
        <w:t>(5) The system operator determines the amount of the variable guarantee to be provided by a balance provider and, if necessary, modifies that amount according to the provisions of subsections 2–4 and 6 of this section.</w:t>
      </w:r>
    </w:p>
    <w:p w14:paraId="3AFFC6FE"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6" w:name="para20lg6"/>
      <w:r>
        <w:rPr>
          <w:rFonts w:ascii="Arial" w:hAnsi="Arial" w:cs="Arial"/>
          <w:color w:val="0061AA"/>
          <w:sz w:val="21"/>
          <w:szCs w:val="21"/>
          <w:bdr w:val="none" w:sz="0" w:space="0" w:color="auto" w:frame="1"/>
        </w:rPr>
        <w:t> </w:t>
      </w:r>
      <w:bookmarkEnd w:id="6"/>
      <w:r>
        <w:rPr>
          <w:rFonts w:ascii="Arial" w:hAnsi="Arial" w:cs="Arial"/>
          <w:color w:val="202020"/>
          <w:sz w:val="21"/>
          <w:szCs w:val="21"/>
        </w:rPr>
        <w:t>(6) Where this is requested by the balance provider, the system operator reduces the amount of the variable guarantee if the amount to be determined under subsection 3 or 4 of this section would, at the moment of reduction, be significantly lower than the amount last determined as the amount of the balance provider’s variable guarantee. The system operator increases the amount of a variable guarantee if the amount to be determined under subsection 3 or 4 of this section would, at the moment of increase, be significantly greater than the amount last determined as the amount of the balance provider’s variable guarantee.</w:t>
      </w:r>
    </w:p>
    <w:p w14:paraId="0181D50B"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7" w:name="para20lg7"/>
      <w:r>
        <w:rPr>
          <w:rFonts w:ascii="Arial" w:hAnsi="Arial" w:cs="Arial"/>
          <w:color w:val="0061AA"/>
          <w:sz w:val="21"/>
          <w:szCs w:val="21"/>
          <w:bdr w:val="none" w:sz="0" w:space="0" w:color="auto" w:frame="1"/>
        </w:rPr>
        <w:t> </w:t>
      </w:r>
      <w:bookmarkEnd w:id="7"/>
      <w:r>
        <w:rPr>
          <w:rFonts w:ascii="Arial" w:hAnsi="Arial" w:cs="Arial"/>
          <w:color w:val="202020"/>
          <w:sz w:val="21"/>
          <w:szCs w:val="21"/>
        </w:rPr>
        <w:t>(7) A balance provider maintains any permanent or variable guarantee as valid for the amount prescribed in the network code on the functioning of the electricity market or determined by the system operator in accordance with this Act.</w:t>
      </w:r>
      <w:r>
        <w:rPr>
          <w:rFonts w:ascii="Arial" w:hAnsi="Arial" w:cs="Arial"/>
          <w:color w:val="202020"/>
          <w:sz w:val="21"/>
          <w:szCs w:val="21"/>
        </w:rPr>
        <w:br/>
        <w:t>[RT I, 29.06.2018, 2 – entry into force 27.04.2019]</w:t>
      </w:r>
    </w:p>
    <w:p w14:paraId="6CD6C782" w14:textId="77777777" w:rsidR="00797FE9" w:rsidRDefault="00797FE9" w:rsidP="00797FE9">
      <w:pPr>
        <w:pStyle w:val="NormalWeb"/>
        <w:shd w:val="clear" w:color="auto" w:fill="FFFFFF"/>
        <w:spacing w:before="0" w:beforeAutospacing="0" w:after="0" w:afterAutospacing="0"/>
        <w:rPr>
          <w:rFonts w:ascii="Arial" w:hAnsi="Arial" w:cs="Arial"/>
          <w:color w:val="202020"/>
          <w:sz w:val="21"/>
          <w:szCs w:val="21"/>
        </w:rPr>
      </w:pPr>
      <w:bookmarkStart w:id="8" w:name="para20lg8"/>
      <w:r>
        <w:rPr>
          <w:rFonts w:ascii="Arial" w:hAnsi="Arial" w:cs="Arial"/>
          <w:color w:val="0061AA"/>
          <w:sz w:val="21"/>
          <w:szCs w:val="21"/>
          <w:bdr w:val="none" w:sz="0" w:space="0" w:color="auto" w:frame="1"/>
        </w:rPr>
        <w:t> </w:t>
      </w:r>
      <w:bookmarkEnd w:id="8"/>
      <w:r>
        <w:rPr>
          <w:rFonts w:ascii="Arial" w:hAnsi="Arial" w:cs="Arial"/>
          <w:color w:val="202020"/>
          <w:sz w:val="21"/>
          <w:szCs w:val="21"/>
        </w:rPr>
        <w:t>(8) Detailed conditions for the provision of permanent and variable guarantees and for the determination of and making changes to guarantee amounts are prescribed in the network code on the functioning of the electricity market.</w:t>
      </w:r>
      <w:r>
        <w:rPr>
          <w:rFonts w:ascii="Arial" w:hAnsi="Arial" w:cs="Arial"/>
          <w:color w:val="202020"/>
          <w:sz w:val="21"/>
          <w:szCs w:val="21"/>
        </w:rPr>
        <w:br/>
        <w:t>[RT I, 29.06.2018, 2 – entry into force 27.04.2019]</w:t>
      </w:r>
    </w:p>
    <w:p w14:paraId="730C48D7" w14:textId="77777777" w:rsidR="00797FE9" w:rsidRDefault="00797FE9" w:rsidP="00797FE9"/>
    <w:p w14:paraId="4DD9AE82" w14:textId="0A2D8E39" w:rsidR="00721E9A" w:rsidRDefault="00721E9A" w:rsidP="00797FE9">
      <w:r>
        <w:t>BRPs need to have following means of communication: telephone, e-mail, mobile phone</w:t>
      </w:r>
      <w:r w:rsidR="002D5174">
        <w:t>.</w:t>
      </w:r>
    </w:p>
    <w:p w14:paraId="2D238385" w14:textId="1924F307" w:rsidR="002D5174" w:rsidRDefault="002D5174" w:rsidP="00797FE9">
      <w:r>
        <w:t>Minimum bid size is: 1 MW in balancing market and 0,1 MW in DA and ID markets.</w:t>
      </w:r>
    </w:p>
    <w:p w14:paraId="39A59810" w14:textId="77777777" w:rsidR="00EA25AD" w:rsidRDefault="00EA25AD" w:rsidP="00EA25AD"/>
    <w:p w14:paraId="20C77422" w14:textId="77777777" w:rsidR="00EA25AD" w:rsidRPr="002F36B5" w:rsidRDefault="00EA25AD" w:rsidP="00EA25AD">
      <w:pPr>
        <w:pStyle w:val="Heading4"/>
        <w:ind w:firstLine="720"/>
        <w:rPr>
          <w:rFonts w:ascii="Calibri" w:eastAsia="Calibri" w:hAnsi="Calibri" w:cs="Calibri"/>
          <w:iCs w:val="0"/>
          <w:color w:val="2F5496"/>
        </w:rPr>
      </w:pPr>
      <w:r w:rsidRPr="002F36B5">
        <w:rPr>
          <w:rFonts w:ascii="Calibri" w:eastAsia="Calibri" w:hAnsi="Calibri" w:cs="Calibri"/>
          <w:iCs w:val="0"/>
          <w:color w:val="2F5496"/>
        </w:rPr>
        <w:t>Do you consider technical requirements to be:</w:t>
      </w:r>
    </w:p>
    <w:p w14:paraId="1EBEF96C" w14:textId="77777777" w:rsidR="00EA25AD" w:rsidRDefault="00E86B66" w:rsidP="00EA25AD">
      <w:pPr>
        <w:ind w:left="360"/>
      </w:pPr>
      <w:sdt>
        <w:sdtPr>
          <w:tag w:val="goog_rdk_2"/>
          <w:id w:val="642311142"/>
        </w:sdtPr>
        <w:sdtEndPr/>
        <w:sdtContent>
          <w:r w:rsidR="00EA25AD">
            <w:rPr>
              <w:rFonts w:ascii="Arial Unicode MS" w:eastAsia="Arial Unicode MS" w:hAnsi="Arial Unicode MS" w:cs="Arial Unicode MS"/>
            </w:rPr>
            <w:t>☐</w:t>
          </w:r>
        </w:sdtContent>
      </w:sdt>
      <w:r w:rsidR="00EA25AD">
        <w:t xml:space="preserve"> Inadequate and a barrier to access</w:t>
      </w:r>
      <w:r w:rsidR="00EA25AD">
        <w:tab/>
      </w:r>
    </w:p>
    <w:p w14:paraId="1F735923" w14:textId="77777777" w:rsidR="00EA25AD" w:rsidRDefault="00E86B66" w:rsidP="00EA25AD">
      <w:pPr>
        <w:ind w:left="360"/>
      </w:pPr>
      <w:sdt>
        <w:sdtPr>
          <w:tag w:val="goog_rdk_3"/>
          <w:id w:val="1445649285"/>
        </w:sdtPr>
        <w:sdtEndPr/>
        <w:sdtContent>
          <w:r w:rsidR="00EA25AD">
            <w:rPr>
              <w:rFonts w:ascii="Arial Unicode MS" w:eastAsia="Arial Unicode MS" w:hAnsi="Arial Unicode MS" w:cs="Arial Unicode MS"/>
            </w:rPr>
            <w:t>☐</w:t>
          </w:r>
        </w:sdtContent>
      </w:sdt>
      <w:r w:rsidR="00EA25AD">
        <w:t xml:space="preserve"> Mostly inadequate and worth accessing the market for some actors</w:t>
      </w:r>
    </w:p>
    <w:p w14:paraId="272F5055" w14:textId="77777777" w:rsidR="00EA25AD" w:rsidRDefault="00E86B66" w:rsidP="00EA25AD">
      <w:pPr>
        <w:ind w:left="360"/>
      </w:pPr>
      <w:sdt>
        <w:sdtPr>
          <w:tag w:val="goog_rdk_2"/>
          <w:id w:val="-1180889079"/>
        </w:sdtPr>
        <w:sdtEndPr/>
        <w:sdtContent>
          <w:r w:rsidR="00EA25AD">
            <w:rPr>
              <w:rFonts w:ascii="Arial Unicode MS" w:eastAsia="Arial Unicode MS" w:hAnsi="Arial Unicode MS" w:cs="Arial Unicode MS"/>
            </w:rPr>
            <w:t>☐</w:t>
          </w:r>
        </w:sdtContent>
      </w:sdt>
      <w:r w:rsidR="00EA25AD">
        <w:t xml:space="preserve"> Mostly adequate except for some situations</w:t>
      </w:r>
    </w:p>
    <w:p w14:paraId="21A01602" w14:textId="6B53C8E4" w:rsidR="00EA25AD" w:rsidRDefault="00E86B66" w:rsidP="00F6609C">
      <w:pPr>
        <w:ind w:left="360"/>
      </w:pPr>
      <w:sdt>
        <w:sdtPr>
          <w:tag w:val="goog_rdk_2"/>
          <w:id w:val="295950032"/>
        </w:sdtPr>
        <w:sdtEndPr/>
        <w:sdtContent>
          <w:r w:rsidR="00EA25AD" w:rsidRPr="00862500">
            <w:rPr>
              <w:rFonts w:ascii="Arial Unicode MS" w:eastAsia="Arial Unicode MS" w:hAnsi="Arial Unicode MS" w:cs="Arial Unicode MS"/>
              <w:highlight w:val="green"/>
            </w:rPr>
            <w:t>☐</w:t>
          </w:r>
        </w:sdtContent>
      </w:sdt>
      <w:r w:rsidR="00EA25AD">
        <w:t xml:space="preserve"> Adequate for the participation of all actors</w:t>
      </w:r>
    </w:p>
    <w:p w14:paraId="1579204C" w14:textId="7B55B2DE" w:rsidR="00EA25AD" w:rsidRDefault="00EA25AD" w:rsidP="00EA25AD">
      <w:r>
        <w:t>Comment:</w:t>
      </w:r>
    </w:p>
    <w:p w14:paraId="62D8C7B8" w14:textId="77777777" w:rsidR="00EA25AD" w:rsidRDefault="00EA25AD" w:rsidP="00EA25AD"/>
    <w:p w14:paraId="3172BBF4" w14:textId="77777777" w:rsidR="00EA25AD" w:rsidRPr="002F36B5" w:rsidRDefault="00EA25AD" w:rsidP="002F36B5">
      <w:pPr>
        <w:pStyle w:val="Heading4"/>
        <w:ind w:firstLine="720"/>
        <w:rPr>
          <w:rFonts w:ascii="Calibri" w:eastAsia="Calibri" w:hAnsi="Calibri" w:cs="Calibri"/>
          <w:iCs w:val="0"/>
          <w:color w:val="2F5496"/>
        </w:rPr>
      </w:pPr>
      <w:r w:rsidRPr="002F36B5">
        <w:rPr>
          <w:rFonts w:ascii="Calibri" w:eastAsia="Calibri" w:hAnsi="Calibri" w:cs="Calibri"/>
          <w:iCs w:val="0"/>
          <w:color w:val="2F5496"/>
        </w:rPr>
        <w:t xml:space="preserve">What are the administrative requirements to participate in wholesale markets? </w:t>
      </w:r>
    </w:p>
    <w:p w14:paraId="7028C980" w14:textId="77777777" w:rsidR="007F53E3" w:rsidRDefault="00EA25AD" w:rsidP="007F53E3">
      <w:r>
        <w:t>Comment:</w:t>
      </w:r>
      <w:r w:rsidR="007F53E3">
        <w:t xml:space="preserve"> BRPs need to have following means of communication: telephone, e-mail, mobile phone.</w:t>
      </w:r>
    </w:p>
    <w:p w14:paraId="19A15EE1" w14:textId="67C71FC5" w:rsidR="00EA25AD" w:rsidRDefault="00EA25AD" w:rsidP="00EA25AD"/>
    <w:p w14:paraId="5092E7CA" w14:textId="77777777" w:rsidR="00F6609C" w:rsidRDefault="00F6609C" w:rsidP="00EA25AD"/>
    <w:p w14:paraId="3B1751B3" w14:textId="1C306A09" w:rsidR="004A5140" w:rsidRPr="002F36B5" w:rsidRDefault="004A5140" w:rsidP="002F36B5">
      <w:pPr>
        <w:pStyle w:val="Heading4"/>
        <w:ind w:firstLine="720"/>
        <w:rPr>
          <w:rFonts w:ascii="Calibri" w:eastAsia="Calibri" w:hAnsi="Calibri" w:cs="Calibri"/>
          <w:iCs w:val="0"/>
          <w:color w:val="2F5496"/>
        </w:rPr>
      </w:pPr>
      <w:r w:rsidRPr="002F36B5">
        <w:rPr>
          <w:rFonts w:ascii="Calibri" w:eastAsia="Calibri" w:hAnsi="Calibri" w:cs="Calibri"/>
          <w:iCs w:val="0"/>
          <w:color w:val="2F5496"/>
        </w:rPr>
        <w:t xml:space="preserve">Is there a requirement to provide a collateral by the service provider? How much is it and do you consider it a significant barrier to access the market? </w:t>
      </w:r>
    </w:p>
    <w:p w14:paraId="5373FEDC" w14:textId="77777777" w:rsidR="00C54045" w:rsidRDefault="00E86B66" w:rsidP="00C54045">
      <w:pPr>
        <w:ind w:left="360"/>
      </w:pPr>
      <w:sdt>
        <w:sdtPr>
          <w:tag w:val="goog_rdk_2"/>
          <w:id w:val="2121719224"/>
        </w:sdtPr>
        <w:sdtEndPr/>
        <w:sdtContent>
          <w:r w:rsidR="00C54045" w:rsidRPr="0066248D">
            <w:rPr>
              <w:rFonts w:ascii="Arial Unicode MS" w:eastAsia="Arial Unicode MS" w:hAnsi="Arial Unicode MS" w:cs="Arial Unicode MS"/>
              <w:highlight w:val="green"/>
            </w:rPr>
            <w:t>☐</w:t>
          </w:r>
        </w:sdtContent>
      </w:sdt>
      <w:r w:rsidR="00C54045">
        <w:t xml:space="preserve"> Yes</w:t>
      </w:r>
      <w:r w:rsidR="00C54045">
        <w:tab/>
      </w:r>
    </w:p>
    <w:p w14:paraId="24051B0F" w14:textId="77777777" w:rsidR="00C54045" w:rsidRDefault="00E86B66" w:rsidP="00C54045">
      <w:pPr>
        <w:ind w:left="360"/>
      </w:pPr>
      <w:sdt>
        <w:sdtPr>
          <w:tag w:val="goog_rdk_3"/>
          <w:id w:val="860477338"/>
        </w:sdtPr>
        <w:sdtEndPr/>
        <w:sdtContent>
          <w:r w:rsidR="00C54045">
            <w:rPr>
              <w:rFonts w:ascii="Arial Unicode MS" w:eastAsia="Arial Unicode MS" w:hAnsi="Arial Unicode MS" w:cs="Arial Unicode MS"/>
            </w:rPr>
            <w:t>☐</w:t>
          </w:r>
        </w:sdtContent>
      </w:sdt>
      <w:r w:rsidR="00C54045">
        <w:t xml:space="preserve"> No</w:t>
      </w:r>
    </w:p>
    <w:p w14:paraId="5EC18C0B" w14:textId="7EFF5C3F" w:rsidR="00EA25AD" w:rsidRDefault="004A5140" w:rsidP="00D53A76">
      <w:r>
        <w:t>Comment:</w:t>
      </w:r>
      <w:r w:rsidR="0066248D">
        <w:t xml:space="preserve"> The fees are discussed with customers only. </w:t>
      </w:r>
      <w:r w:rsidR="00E82F20">
        <w:t xml:space="preserve">Although, NRA does not have any complaints from market participants regarding the fees. </w:t>
      </w:r>
      <w:r w:rsidR="0066248D">
        <w:t>(</w:t>
      </w:r>
      <w:hyperlink r:id="rId11" w:history="1">
        <w:r w:rsidR="0066248D" w:rsidRPr="00354A29">
          <w:rPr>
            <w:rStyle w:val="Hyperlink"/>
          </w:rPr>
          <w:t>https://www.nordpoolgroup.com/en/trading/Rules-and-regulations/</w:t>
        </w:r>
      </w:hyperlink>
      <w:r w:rsidR="0066248D">
        <w:t>)</w:t>
      </w:r>
    </w:p>
    <w:p w14:paraId="7F47BAF8" w14:textId="77777777" w:rsidR="00D53A76" w:rsidRPr="00D53A76" w:rsidRDefault="00D53A76" w:rsidP="00D53A76"/>
    <w:p w14:paraId="42266593" w14:textId="77777777" w:rsidR="00EA25AD" w:rsidRPr="002F36B5" w:rsidRDefault="00EA25AD" w:rsidP="00EA25AD">
      <w:pPr>
        <w:pStyle w:val="Heading4"/>
        <w:ind w:firstLine="720"/>
        <w:rPr>
          <w:rFonts w:ascii="Calibri" w:eastAsia="Calibri" w:hAnsi="Calibri" w:cs="Calibri"/>
          <w:iCs w:val="0"/>
          <w:color w:val="2F5496"/>
        </w:rPr>
      </w:pPr>
      <w:r w:rsidRPr="002F36B5">
        <w:rPr>
          <w:rFonts w:ascii="Calibri" w:eastAsia="Calibri" w:hAnsi="Calibri" w:cs="Calibri"/>
          <w:iCs w:val="0"/>
          <w:color w:val="2F5496"/>
        </w:rPr>
        <w:t>Do you consider bureaucratic requirements to be:</w:t>
      </w:r>
    </w:p>
    <w:p w14:paraId="5613A19A" w14:textId="77777777" w:rsidR="00EA25AD" w:rsidRDefault="00E86B66" w:rsidP="00EA25AD">
      <w:pPr>
        <w:ind w:left="360"/>
      </w:pPr>
      <w:sdt>
        <w:sdtPr>
          <w:tag w:val="goog_rdk_2"/>
          <w:id w:val="872428019"/>
        </w:sdtPr>
        <w:sdtEndPr/>
        <w:sdtContent>
          <w:r w:rsidR="00EA25AD">
            <w:rPr>
              <w:rFonts w:ascii="Arial Unicode MS" w:eastAsia="Arial Unicode MS" w:hAnsi="Arial Unicode MS" w:cs="Arial Unicode MS"/>
            </w:rPr>
            <w:t>☐</w:t>
          </w:r>
        </w:sdtContent>
      </w:sdt>
      <w:r w:rsidR="00EA25AD">
        <w:t xml:space="preserve"> A barrier to access the market</w:t>
      </w:r>
    </w:p>
    <w:p w14:paraId="4A2B6BAF" w14:textId="77777777" w:rsidR="00EA25AD" w:rsidRDefault="00E86B66" w:rsidP="00EA25AD">
      <w:pPr>
        <w:ind w:left="360"/>
      </w:pPr>
      <w:sdt>
        <w:sdtPr>
          <w:tag w:val="goog_rdk_3"/>
          <w:id w:val="-1745943833"/>
        </w:sdtPr>
        <w:sdtEndPr/>
        <w:sdtContent>
          <w:r w:rsidR="00EA25AD">
            <w:rPr>
              <w:rFonts w:ascii="Arial Unicode MS" w:eastAsia="Arial Unicode MS" w:hAnsi="Arial Unicode MS" w:cs="Arial Unicode MS"/>
            </w:rPr>
            <w:t>☐</w:t>
          </w:r>
        </w:sdtContent>
      </w:sdt>
      <w:r w:rsidR="00EA25AD">
        <w:t xml:space="preserve"> Slowing down or overcomplicating the process to the extent that it would be difficult to access the market</w:t>
      </w:r>
    </w:p>
    <w:p w14:paraId="7ECEF123" w14:textId="77777777" w:rsidR="00EA25AD" w:rsidRDefault="00E86B66" w:rsidP="00EA25AD">
      <w:pPr>
        <w:ind w:left="360"/>
      </w:pPr>
      <w:sdt>
        <w:sdtPr>
          <w:tag w:val="goog_rdk_2"/>
          <w:id w:val="-1430195997"/>
        </w:sdtPr>
        <w:sdtEndPr/>
        <w:sdtContent>
          <w:r w:rsidR="00EA25AD">
            <w:rPr>
              <w:rFonts w:ascii="Arial Unicode MS" w:eastAsia="Arial Unicode MS" w:hAnsi="Arial Unicode MS" w:cs="Arial Unicode MS"/>
            </w:rPr>
            <w:t>☐</w:t>
          </w:r>
        </w:sdtContent>
      </w:sdt>
      <w:r w:rsidR="00EA25AD">
        <w:t xml:space="preserve"> Mostly adequate and in line with other markets</w:t>
      </w:r>
    </w:p>
    <w:p w14:paraId="2CD8E190" w14:textId="734BC7E4" w:rsidR="00F6609C" w:rsidRDefault="00E86B66" w:rsidP="002F36B5">
      <w:pPr>
        <w:ind w:left="360"/>
      </w:pPr>
      <w:sdt>
        <w:sdtPr>
          <w:tag w:val="goog_rdk_2"/>
          <w:id w:val="-1391185260"/>
        </w:sdtPr>
        <w:sdtEndPr/>
        <w:sdtContent>
          <w:r w:rsidR="00EA25AD" w:rsidRPr="006C2385">
            <w:rPr>
              <w:rFonts w:ascii="Segoe UI Symbol" w:eastAsia="Arial Unicode MS" w:hAnsi="Segoe UI Symbol" w:cs="Segoe UI Symbol"/>
              <w:highlight w:val="green"/>
            </w:rPr>
            <w:t>☐</w:t>
          </w:r>
        </w:sdtContent>
      </w:sdt>
      <w:r w:rsidR="00EA25AD">
        <w:t xml:space="preserve"> Easy to follow and not hindering participation of any type of actor</w:t>
      </w:r>
    </w:p>
    <w:p w14:paraId="6DC8F98B" w14:textId="77777777" w:rsidR="002F36B5" w:rsidRPr="002F36B5" w:rsidRDefault="002F36B5" w:rsidP="002F36B5">
      <w:pPr>
        <w:ind w:left="360"/>
      </w:pPr>
    </w:p>
    <w:p w14:paraId="5AA8F9DA" w14:textId="77777777" w:rsidR="00EA25AD" w:rsidRPr="002F36B5" w:rsidRDefault="00EA25AD" w:rsidP="002F36B5">
      <w:pPr>
        <w:pStyle w:val="Heading4"/>
        <w:ind w:firstLine="720"/>
        <w:rPr>
          <w:rFonts w:ascii="Calibri" w:eastAsia="Calibri" w:hAnsi="Calibri" w:cs="Calibri"/>
          <w:iCs w:val="0"/>
          <w:color w:val="2F5496"/>
        </w:rPr>
      </w:pPr>
      <w:r w:rsidRPr="002F36B5">
        <w:rPr>
          <w:rFonts w:ascii="Calibri" w:eastAsia="Calibri" w:hAnsi="Calibri" w:cs="Calibri"/>
          <w:iCs w:val="0"/>
          <w:color w:val="2F5496"/>
        </w:rPr>
        <w:t xml:space="preserve">How is the activation measured? </w:t>
      </w:r>
    </w:p>
    <w:p w14:paraId="1F8617EF" w14:textId="77777777" w:rsidR="00EA25AD" w:rsidRPr="00F6609C" w:rsidRDefault="00EA25AD" w:rsidP="00EA25AD">
      <w:pPr>
        <w:ind w:left="360"/>
        <w:rPr>
          <w:lang w:val="en-GB"/>
        </w:rPr>
      </w:pPr>
      <w:r w:rsidRPr="006C2385">
        <w:rPr>
          <w:rFonts w:ascii="MS Gothic" w:eastAsia="MS Gothic" w:hAnsi="MS Gothic" w:cs="MS Gothic"/>
          <w:highlight w:val="green"/>
          <w:lang w:val="en-GB"/>
        </w:rPr>
        <w:t>☐</w:t>
      </w:r>
      <w:r w:rsidRPr="00F6609C">
        <w:rPr>
          <w:lang w:val="en-GB"/>
        </w:rPr>
        <w:t xml:space="preserve"> Smart meter (boundary meter)</w:t>
      </w:r>
    </w:p>
    <w:p w14:paraId="7650E956" w14:textId="77777777" w:rsidR="00EA25AD" w:rsidRPr="0001520A" w:rsidRDefault="00EA25AD" w:rsidP="00EA25AD">
      <w:pPr>
        <w:ind w:left="360"/>
      </w:pPr>
      <w:r w:rsidRPr="0001520A">
        <w:rPr>
          <w:rFonts w:ascii="MS Gothic" w:eastAsia="MS Gothic" w:hAnsi="MS Gothic" w:cs="MS Gothic"/>
        </w:rPr>
        <w:t>☐</w:t>
      </w:r>
      <w:r w:rsidRPr="0001520A">
        <w:t xml:space="preserve"> Sub-meter or dedicated m</w:t>
      </w:r>
      <w:r>
        <w:t>easurement device</w:t>
      </w:r>
    </w:p>
    <w:p w14:paraId="19148D51" w14:textId="77777777" w:rsidR="00EA25AD" w:rsidRDefault="00EA25AD" w:rsidP="00EA25AD">
      <w:pPr>
        <w:ind w:left="360"/>
      </w:pPr>
      <w:r>
        <w:rPr>
          <w:rFonts w:ascii="MS Gothic" w:eastAsia="MS Gothic" w:hAnsi="MS Gothic" w:cs="MS Gothic"/>
        </w:rPr>
        <w:t xml:space="preserve">☐ </w:t>
      </w:r>
      <w:r>
        <w:t xml:space="preserve">Other </w:t>
      </w:r>
    </w:p>
    <w:p w14:paraId="447E26AE" w14:textId="77777777" w:rsidR="00EA25AD" w:rsidRDefault="00EA25AD" w:rsidP="00EA25AD">
      <w:r>
        <w:t>Comment:</w:t>
      </w:r>
    </w:p>
    <w:p w14:paraId="4659C853" w14:textId="77777777" w:rsidR="00F6609C" w:rsidRDefault="00F6609C" w:rsidP="00EA25AD"/>
    <w:p w14:paraId="369EBB47" w14:textId="77777777" w:rsidR="00EA25AD" w:rsidRDefault="00EA25AD" w:rsidP="00EA25AD">
      <w:pPr>
        <w:ind w:firstLine="720"/>
      </w:pPr>
      <w:r>
        <w:rPr>
          <w:i/>
          <w:color w:val="2F5496"/>
        </w:rPr>
        <w:t>Is a prequalification process required for participating? If yes, please describe it and provide your interpretation of its suitability for Demand-Side Flexibility.</w:t>
      </w:r>
    </w:p>
    <w:p w14:paraId="02835303" w14:textId="77777777" w:rsidR="00EA25AD" w:rsidRDefault="00EA25AD" w:rsidP="00EA25AD">
      <w:pPr>
        <w:ind w:left="360"/>
      </w:pPr>
      <w:r w:rsidRPr="006C2385">
        <w:rPr>
          <w:rFonts w:ascii="MS Gothic" w:eastAsia="MS Gothic" w:hAnsi="MS Gothic" w:cs="MS Gothic"/>
          <w:highlight w:val="green"/>
        </w:rPr>
        <w:t>☐</w:t>
      </w:r>
      <w:r>
        <w:t xml:space="preserve"> Yes</w:t>
      </w:r>
    </w:p>
    <w:p w14:paraId="031440C2" w14:textId="77777777" w:rsidR="00EA25AD" w:rsidRDefault="00EA25AD" w:rsidP="00EA25AD">
      <w:pPr>
        <w:ind w:left="360"/>
      </w:pPr>
      <w:r>
        <w:rPr>
          <w:rFonts w:ascii="MS Gothic" w:eastAsia="MS Gothic" w:hAnsi="MS Gothic" w:cs="MS Gothic"/>
        </w:rPr>
        <w:t>☐</w:t>
      </w:r>
      <w:r>
        <w:t xml:space="preserve"> No</w:t>
      </w:r>
    </w:p>
    <w:p w14:paraId="3B04FB77" w14:textId="461AE355" w:rsidR="00EA25AD" w:rsidRDefault="00EA25AD" w:rsidP="00F60C36">
      <w:r>
        <w:lastRenderedPageBreak/>
        <w:t>Comment:</w:t>
      </w:r>
      <w:r w:rsidR="006C2385">
        <w:t xml:space="preserve"> Please find the standard product requirements for participating in balancing market. No such conditions for DA and ID market.</w:t>
      </w:r>
      <w:r w:rsidR="00F60C36">
        <w:t xml:space="preserve"> We do not see that such conditions are too restrictive or could hinder the development of DSR.</w:t>
      </w:r>
    </w:p>
    <w:p w14:paraId="06308A14" w14:textId="6B9CDC5E" w:rsidR="006C2385" w:rsidRDefault="006C2385" w:rsidP="00EA25AD">
      <w:r>
        <w:rPr>
          <w:noProof/>
        </w:rPr>
        <w:drawing>
          <wp:inline distT="0" distB="0" distL="0" distR="0" wp14:anchorId="7BBEE5CD" wp14:editId="6582D9CA">
            <wp:extent cx="5810250" cy="541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250" cy="5419725"/>
                    </a:xfrm>
                    <a:prstGeom prst="rect">
                      <a:avLst/>
                    </a:prstGeom>
                  </pic:spPr>
                </pic:pic>
              </a:graphicData>
            </a:graphic>
          </wp:inline>
        </w:drawing>
      </w:r>
    </w:p>
    <w:p w14:paraId="492FDC6B" w14:textId="77777777" w:rsidR="00EA25AD" w:rsidRDefault="00EA25AD" w:rsidP="00EA25AD"/>
    <w:p w14:paraId="4C27BF0D" w14:textId="77777777" w:rsidR="00EA25AD" w:rsidRDefault="00EA25AD" w:rsidP="00EA25AD">
      <w:pPr>
        <w:ind w:firstLine="720"/>
      </w:pPr>
      <w:r>
        <w:rPr>
          <w:i/>
          <w:color w:val="2F5496"/>
        </w:rPr>
        <w:t>What is the minimum bid size</w:t>
      </w:r>
      <w:r>
        <w:t>?</w:t>
      </w:r>
    </w:p>
    <w:p w14:paraId="2BD928D2" w14:textId="77777777" w:rsidR="00EA25AD" w:rsidRDefault="00EA25AD" w:rsidP="00EA25AD">
      <w:pPr>
        <w:ind w:left="360"/>
      </w:pPr>
      <w:r>
        <w:rPr>
          <w:rFonts w:ascii="MS Gothic" w:eastAsia="MS Gothic" w:hAnsi="MS Gothic" w:cs="MS Gothic"/>
        </w:rPr>
        <w:t>☐</w:t>
      </w:r>
      <w:r>
        <w:t xml:space="preserve"> 5MW and higher </w:t>
      </w:r>
    </w:p>
    <w:p w14:paraId="44FFC4A0" w14:textId="0529B97C" w:rsidR="00EA25AD" w:rsidRDefault="00EA25AD" w:rsidP="00EA25AD">
      <w:pPr>
        <w:ind w:left="360"/>
      </w:pPr>
      <w:r w:rsidRPr="006C2385">
        <w:rPr>
          <w:rFonts w:ascii="MS Gothic" w:eastAsia="MS Gothic" w:hAnsi="MS Gothic" w:cs="MS Gothic"/>
          <w:highlight w:val="green"/>
        </w:rPr>
        <w:t>☐</w:t>
      </w:r>
      <w:r>
        <w:t xml:space="preserve"> 1MW</w:t>
      </w:r>
      <w:r w:rsidR="00E86B66">
        <w:t xml:space="preserve"> (in balancing market; 0,1 MW in DA/ID market)</w:t>
      </w:r>
    </w:p>
    <w:p w14:paraId="2326FAC7" w14:textId="77777777" w:rsidR="00EA25AD" w:rsidRDefault="00EA25AD" w:rsidP="00EA25AD">
      <w:pPr>
        <w:ind w:left="360"/>
      </w:pPr>
      <w:r>
        <w:rPr>
          <w:rFonts w:ascii="MS Gothic" w:eastAsia="MS Gothic" w:hAnsi="MS Gothic" w:cs="MS Gothic"/>
        </w:rPr>
        <w:t>☐</w:t>
      </w:r>
      <w:r>
        <w:t xml:space="preserve"> 500kW</w:t>
      </w:r>
    </w:p>
    <w:p w14:paraId="296F772A" w14:textId="77777777" w:rsidR="00EA25AD" w:rsidRDefault="00EA25AD" w:rsidP="00EA25AD">
      <w:pPr>
        <w:ind w:left="360"/>
      </w:pPr>
      <w:r>
        <w:rPr>
          <w:rFonts w:ascii="MS Gothic" w:eastAsia="MS Gothic" w:hAnsi="MS Gothic" w:cs="MS Gothic"/>
        </w:rPr>
        <w:t>☐</w:t>
      </w:r>
      <w:r>
        <w:t xml:space="preserve"> 200kW and lower</w:t>
      </w:r>
    </w:p>
    <w:p w14:paraId="343B5C0D" w14:textId="77777777" w:rsidR="00EA25AD" w:rsidRDefault="00EA25AD" w:rsidP="00EA25AD">
      <w:pPr>
        <w:ind w:left="360"/>
      </w:pPr>
      <w:r>
        <w:rPr>
          <w:rFonts w:ascii="MS Gothic" w:eastAsia="MS Gothic" w:hAnsi="MS Gothic" w:cs="MS Gothic"/>
        </w:rPr>
        <w:t>☐</w:t>
      </w:r>
      <w:r>
        <w:t xml:space="preserve"> Not applicable</w:t>
      </w:r>
    </w:p>
    <w:p w14:paraId="644737BC" w14:textId="77777777" w:rsidR="00EA25AD" w:rsidRDefault="00EA25AD" w:rsidP="00EA25AD"/>
    <w:p w14:paraId="1B321F69" w14:textId="77777777" w:rsidR="00EA25AD" w:rsidRDefault="00EA25AD" w:rsidP="00EA25AD">
      <w:pPr>
        <w:ind w:firstLine="720"/>
      </w:pPr>
      <w:r>
        <w:rPr>
          <w:i/>
          <w:color w:val="2F5496"/>
        </w:rPr>
        <w:lastRenderedPageBreak/>
        <w:t>If participation of Demand-Side Flexibility through explicit activations is not possible in the country of your responses, what are the necessary steps to overcome the barriers:</w:t>
      </w:r>
    </w:p>
    <w:p w14:paraId="6CEBB923" w14:textId="079A3738" w:rsidR="00EA25AD" w:rsidRDefault="00EA25AD" w:rsidP="00EA25AD">
      <w:r>
        <w:t>Comment:</w:t>
      </w:r>
      <w:r w:rsidR="009079AB">
        <w:t xml:space="preserve"> In order to bring DSR through explicit activations to DA and ID markets, national legislation shall be amended (already in process) and rules for demand side response shall be developed, when national legislation is amended.</w:t>
      </w:r>
    </w:p>
    <w:p w14:paraId="2A2A642F" w14:textId="77777777" w:rsidR="00EA25AD" w:rsidRDefault="00EA25AD" w:rsidP="00EA25AD"/>
    <w:p w14:paraId="5D028A20" w14:textId="77777777" w:rsidR="00B518AA" w:rsidRDefault="00B518AA" w:rsidP="00B518AA">
      <w:pPr>
        <w:rPr>
          <w:color w:val="2F5496"/>
          <w:sz w:val="32"/>
          <w:szCs w:val="32"/>
        </w:rPr>
      </w:pPr>
      <w:r w:rsidRPr="005958AE">
        <w:rPr>
          <w:color w:val="2F5496"/>
          <w:sz w:val="32"/>
          <w:szCs w:val="32"/>
        </w:rPr>
        <w:t>Maturity of the wholesale markets</w:t>
      </w:r>
    </w:p>
    <w:p w14:paraId="4579CEBB" w14:textId="7F3CD2C1" w:rsidR="00B518AA" w:rsidRPr="002F36B5" w:rsidRDefault="00B518AA" w:rsidP="00B518AA">
      <w:pPr>
        <w:rPr>
          <w:i/>
          <w:color w:val="2F5496"/>
        </w:rPr>
      </w:pPr>
      <w:r w:rsidRPr="002F36B5">
        <w:rPr>
          <w:i/>
          <w:color w:val="2F5496"/>
        </w:rPr>
        <w:t>To assess the level of maturity of the DA and ID markets, please provide the following information</w:t>
      </w:r>
      <w:r w:rsidR="00FC35E5" w:rsidRPr="002F36B5">
        <w:rPr>
          <w:i/>
          <w:color w:val="2F5496"/>
        </w:rPr>
        <w:t xml:space="preserve"> for 2023</w:t>
      </w:r>
      <w:r w:rsidRPr="002F36B5">
        <w:rPr>
          <w:i/>
          <w:color w:val="2F5496"/>
        </w:rPr>
        <w:t>:</w:t>
      </w:r>
    </w:p>
    <w:p w14:paraId="6CFCC55B" w14:textId="7F0FE4DC" w:rsidR="00B518AA" w:rsidRDefault="002F36B5" w:rsidP="002F36B5">
      <w:pPr>
        <w:pStyle w:val="pf0"/>
        <w:numPr>
          <w:ilvl w:val="0"/>
          <w:numId w:val="8"/>
        </w:numPr>
        <w:rPr>
          <w:rFonts w:ascii="Calibri" w:eastAsia="Calibri" w:hAnsi="Calibri" w:cs="Calibri"/>
          <w:sz w:val="22"/>
          <w:szCs w:val="22"/>
        </w:rPr>
      </w:pPr>
      <w:r>
        <w:rPr>
          <w:rFonts w:ascii="Calibri" w:eastAsia="Calibri" w:hAnsi="Calibri" w:cs="Calibri"/>
          <w:sz w:val="22"/>
          <w:szCs w:val="22"/>
        </w:rPr>
        <w:t>The n</w:t>
      </w:r>
      <w:r w:rsidR="00B518AA" w:rsidRPr="005958AE">
        <w:rPr>
          <w:rFonts w:ascii="Calibri" w:eastAsia="Calibri" w:hAnsi="Calibri" w:cs="Calibri"/>
          <w:sz w:val="22"/>
          <w:szCs w:val="22"/>
        </w:rPr>
        <w:t xml:space="preserve">umber of products available: </w:t>
      </w:r>
      <w:r w:rsidR="00B12F37">
        <w:rPr>
          <w:rFonts w:ascii="Calibri" w:eastAsia="Calibri" w:hAnsi="Calibri" w:cs="Calibri"/>
          <w:sz w:val="22"/>
          <w:szCs w:val="22"/>
        </w:rPr>
        <w:t>4</w:t>
      </w:r>
    </w:p>
    <w:p w14:paraId="66716FD1" w14:textId="3E50BEB2" w:rsidR="00B12F37" w:rsidRDefault="00E86B66" w:rsidP="00B12F37">
      <w:pPr>
        <w:pStyle w:val="pf0"/>
        <w:ind w:left="720"/>
        <w:rPr>
          <w:rFonts w:ascii="Calibri" w:eastAsia="Calibri" w:hAnsi="Calibri" w:cs="Calibri"/>
          <w:sz w:val="22"/>
          <w:szCs w:val="22"/>
        </w:rPr>
      </w:pPr>
      <w:hyperlink r:id="rId13" w:history="1">
        <w:r w:rsidR="00B12F37" w:rsidRPr="00354A29">
          <w:rPr>
            <w:rStyle w:val="Hyperlink"/>
            <w:rFonts w:ascii="Calibri" w:eastAsia="Calibri" w:hAnsi="Calibri" w:cs="Calibri"/>
            <w:sz w:val="22"/>
            <w:szCs w:val="22"/>
          </w:rPr>
          <w:t>https://www.nordpoolgroup.com/en/trading/Day-ahead-trading/Order-types/</w:t>
        </w:r>
      </w:hyperlink>
      <w:r w:rsidR="00B12F37">
        <w:rPr>
          <w:rFonts w:ascii="Calibri" w:eastAsia="Calibri" w:hAnsi="Calibri" w:cs="Calibri"/>
          <w:sz w:val="22"/>
          <w:szCs w:val="22"/>
        </w:rPr>
        <w:t xml:space="preserve"> </w:t>
      </w:r>
    </w:p>
    <w:p w14:paraId="5F4F29EF" w14:textId="77777777" w:rsidR="002F36B5" w:rsidRPr="005958AE" w:rsidRDefault="002F36B5" w:rsidP="002F36B5">
      <w:pPr>
        <w:pStyle w:val="pf0"/>
        <w:rPr>
          <w:rFonts w:ascii="Calibri" w:eastAsia="Calibri" w:hAnsi="Calibri" w:cs="Calibri"/>
          <w:sz w:val="22"/>
          <w:szCs w:val="22"/>
        </w:rPr>
      </w:pPr>
    </w:p>
    <w:p w14:paraId="382C23B4" w14:textId="7AC621FD" w:rsidR="00B518AA" w:rsidRDefault="002F36B5" w:rsidP="002F36B5">
      <w:pPr>
        <w:pStyle w:val="pf0"/>
        <w:numPr>
          <w:ilvl w:val="0"/>
          <w:numId w:val="8"/>
        </w:numPr>
        <w:rPr>
          <w:rFonts w:ascii="Calibri" w:eastAsia="Calibri" w:hAnsi="Calibri" w:cs="Calibri"/>
          <w:sz w:val="22"/>
          <w:szCs w:val="22"/>
        </w:rPr>
      </w:pPr>
      <w:r>
        <w:rPr>
          <w:rFonts w:ascii="Calibri" w:eastAsia="Calibri" w:hAnsi="Calibri" w:cs="Calibri"/>
          <w:sz w:val="22"/>
          <w:szCs w:val="22"/>
        </w:rPr>
        <w:t>The g</w:t>
      </w:r>
      <w:r w:rsidR="00B518AA" w:rsidRPr="005958AE">
        <w:rPr>
          <w:rFonts w:ascii="Calibri" w:eastAsia="Calibri" w:hAnsi="Calibri" w:cs="Calibri"/>
          <w:sz w:val="22"/>
          <w:szCs w:val="22"/>
        </w:rPr>
        <w:t>ranularity of products (e.g., 15min products):</w:t>
      </w:r>
      <w:r w:rsidR="00B12F37">
        <w:rPr>
          <w:rFonts w:ascii="Calibri" w:eastAsia="Calibri" w:hAnsi="Calibri" w:cs="Calibri"/>
          <w:sz w:val="22"/>
          <w:szCs w:val="22"/>
        </w:rPr>
        <w:t xml:space="preserve"> 1 hour products</w:t>
      </w:r>
    </w:p>
    <w:p w14:paraId="10627CBF" w14:textId="0742CC33" w:rsidR="00B518AA" w:rsidRPr="005958AE" w:rsidRDefault="00B518AA" w:rsidP="00395571">
      <w:pPr>
        <w:pStyle w:val="pf0"/>
        <w:rPr>
          <w:rFonts w:ascii="Calibri" w:eastAsia="Calibri" w:hAnsi="Calibri" w:cs="Calibri"/>
          <w:sz w:val="22"/>
          <w:szCs w:val="22"/>
        </w:rPr>
      </w:pPr>
      <w:r w:rsidRPr="005958AE">
        <w:rPr>
          <w:rFonts w:ascii="Calibri" w:eastAsia="Calibri" w:hAnsi="Calibri" w:cs="Calibri"/>
          <w:sz w:val="22"/>
          <w:szCs w:val="22"/>
        </w:rPr>
        <w:t xml:space="preserve"> </w:t>
      </w:r>
    </w:p>
    <w:p w14:paraId="18D3A9B1" w14:textId="490AC89B" w:rsidR="00512C33" w:rsidRDefault="00512C33" w:rsidP="00512C33">
      <w:pPr>
        <w:pStyle w:val="pf0"/>
        <w:numPr>
          <w:ilvl w:val="0"/>
          <w:numId w:val="8"/>
        </w:numPr>
        <w:rPr>
          <w:rFonts w:ascii="Calibri" w:eastAsia="Calibri" w:hAnsi="Calibri" w:cs="Calibri"/>
          <w:sz w:val="22"/>
          <w:szCs w:val="22"/>
        </w:rPr>
      </w:pPr>
      <w:r w:rsidRPr="005958AE">
        <w:rPr>
          <w:rFonts w:ascii="Calibri" w:eastAsia="Calibri" w:hAnsi="Calibri" w:cs="Calibri"/>
          <w:sz w:val="22"/>
          <w:szCs w:val="22"/>
        </w:rPr>
        <w:t>Market concentration</w:t>
      </w:r>
      <w:r>
        <w:rPr>
          <w:rFonts w:ascii="Calibri" w:eastAsia="Calibri" w:hAnsi="Calibri" w:cs="Calibri"/>
          <w:sz w:val="22"/>
          <w:szCs w:val="22"/>
        </w:rPr>
        <w:t xml:space="preserve"> (e.g., number of participants bidding in the wholesale markets, number of participants being activated)</w:t>
      </w:r>
      <w:r w:rsidRPr="005958AE">
        <w:rPr>
          <w:rFonts w:ascii="Calibri" w:eastAsia="Calibri" w:hAnsi="Calibri" w:cs="Calibri"/>
          <w:sz w:val="22"/>
          <w:szCs w:val="22"/>
        </w:rPr>
        <w:t>:</w:t>
      </w:r>
      <w:r w:rsidR="00AD0684">
        <w:rPr>
          <w:rFonts w:ascii="Calibri" w:eastAsia="Calibri" w:hAnsi="Calibri" w:cs="Calibri"/>
          <w:sz w:val="22"/>
          <w:szCs w:val="22"/>
        </w:rPr>
        <w:t xml:space="preserve"> about 18 – 20 market participants</w:t>
      </w:r>
    </w:p>
    <w:p w14:paraId="1BEEB681" w14:textId="77777777" w:rsidR="00EA25AD" w:rsidRDefault="00EA25AD" w:rsidP="00EA25AD"/>
    <w:p w14:paraId="4EBA6276" w14:textId="4AF553FA" w:rsidR="00FC35E5" w:rsidRDefault="00EA25AD" w:rsidP="002F36B5">
      <w:pPr>
        <w:spacing w:before="40"/>
        <w:rPr>
          <w:color w:val="2F5496"/>
          <w:sz w:val="32"/>
          <w:szCs w:val="32"/>
        </w:rPr>
      </w:pPr>
      <w:r>
        <w:rPr>
          <w:color w:val="2F5496"/>
          <w:sz w:val="32"/>
          <w:szCs w:val="32"/>
        </w:rPr>
        <w:t>Participating technologies and traded volumes</w:t>
      </w:r>
    </w:p>
    <w:p w14:paraId="5AA27B05" w14:textId="77777777" w:rsidR="002F36B5" w:rsidRDefault="002F36B5" w:rsidP="002F36B5">
      <w:pPr>
        <w:spacing w:before="40"/>
        <w:rPr>
          <w:b/>
          <w:color w:val="FF0000"/>
        </w:rPr>
      </w:pPr>
    </w:p>
    <w:p w14:paraId="5F601571" w14:textId="6088BA63" w:rsidR="00FC35E5" w:rsidRPr="002F36B5" w:rsidRDefault="00FC35E5" w:rsidP="00FC35E5">
      <w:pPr>
        <w:pStyle w:val="Heading4"/>
        <w:ind w:firstLine="720"/>
        <w:rPr>
          <w:rFonts w:ascii="Calibri" w:eastAsia="Calibri" w:hAnsi="Calibri" w:cs="Calibri"/>
          <w:iCs w:val="0"/>
          <w:color w:val="2F5496"/>
        </w:rPr>
      </w:pPr>
      <w:r w:rsidRPr="002F36B5">
        <w:rPr>
          <w:rFonts w:ascii="Calibri" w:eastAsia="Calibri" w:hAnsi="Calibri" w:cs="Calibri"/>
          <w:iCs w:val="0"/>
          <w:color w:val="2F5496"/>
        </w:rPr>
        <w:t xml:space="preserve">Please mark </w:t>
      </w:r>
      <w:r w:rsidR="008D5DB5" w:rsidRPr="002F36B5">
        <w:rPr>
          <w:rFonts w:ascii="Calibri" w:eastAsia="Calibri" w:hAnsi="Calibri" w:cs="Calibri"/>
          <w:iCs w:val="0"/>
          <w:color w:val="2F5496"/>
        </w:rPr>
        <w:t xml:space="preserve">the </w:t>
      </w:r>
      <w:r w:rsidRPr="002F36B5">
        <w:rPr>
          <w:rFonts w:ascii="Calibri" w:eastAsia="Calibri" w:hAnsi="Calibri" w:cs="Calibri"/>
          <w:iCs w:val="0"/>
          <w:color w:val="2F5496"/>
        </w:rPr>
        <w:t>technologies with access to Day-ahead markets</w:t>
      </w:r>
    </w:p>
    <w:p w14:paraId="1D96DD40" w14:textId="77777777" w:rsidR="00FC35E5"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 xml:space="preserve">Residential or small-scale Solar PV </w:t>
      </w:r>
    </w:p>
    <w:p w14:paraId="3FB28F28"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Other distributed generation</w:t>
      </w:r>
    </w:p>
    <w:p w14:paraId="402AC022" w14:textId="77777777" w:rsidR="00FC35E5"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Small-scale </w:t>
      </w:r>
      <w:r>
        <w:t>b</w:t>
      </w:r>
      <w:r w:rsidRPr="00B96783">
        <w:t>attery storage</w:t>
      </w:r>
      <w:r>
        <w:t xml:space="preserve"> (aggregated)</w:t>
      </w:r>
    </w:p>
    <w:p w14:paraId="4319A095"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Utility scale storage</w:t>
      </w:r>
    </w:p>
    <w:p w14:paraId="493251DD"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rsidRPr="00B96783">
        <w:t>Demand Response from commercial and industrial consumers</w:t>
      </w:r>
    </w:p>
    <w:p w14:paraId="1FFACBFD" w14:textId="49F4E677" w:rsidR="00FC35E5" w:rsidRDefault="00FC35E5" w:rsidP="002F36B5">
      <w:pPr>
        <w:ind w:left="360"/>
      </w:pPr>
      <w:r w:rsidRPr="00A80632">
        <w:rPr>
          <w:rFonts w:ascii="Segoe UI Symbol" w:hAnsi="Segoe UI Symbol" w:cs="Segoe UI Symbol"/>
          <w:highlight w:val="green"/>
        </w:rPr>
        <w:t>☐</w:t>
      </w:r>
      <w:r>
        <w:rPr>
          <w:rFonts w:ascii="Segoe UI Symbol" w:hAnsi="Segoe UI Symbol" w:cs="Segoe UI Symbol"/>
        </w:rPr>
        <w:t xml:space="preserve"> </w:t>
      </w:r>
      <w:r w:rsidRPr="00B96783">
        <w:t>Demand Response from households</w:t>
      </w:r>
      <w:r>
        <w:t xml:space="preserve"> (through aggregators or suppliers)</w:t>
      </w:r>
    </w:p>
    <w:p w14:paraId="73707D5A" w14:textId="6B0B4856" w:rsidR="00FC35E5" w:rsidRDefault="00370907" w:rsidP="00FC35E5">
      <w:r>
        <w:t>Comment</w:t>
      </w:r>
      <w:r w:rsidR="00FC35E5">
        <w:t>:</w:t>
      </w:r>
    </w:p>
    <w:p w14:paraId="72D8C93A" w14:textId="77777777" w:rsidR="002F36B5" w:rsidRDefault="002F36B5" w:rsidP="00FC35E5"/>
    <w:p w14:paraId="3D85DABC" w14:textId="2B4D7C42" w:rsidR="00FC35E5" w:rsidRPr="002F36B5" w:rsidRDefault="00FC35E5" w:rsidP="00FC35E5">
      <w:pPr>
        <w:pStyle w:val="Heading4"/>
        <w:ind w:firstLine="720"/>
        <w:rPr>
          <w:rFonts w:ascii="Calibri" w:eastAsia="Calibri" w:hAnsi="Calibri" w:cs="Calibri"/>
          <w:iCs w:val="0"/>
          <w:color w:val="2F5496"/>
        </w:rPr>
      </w:pPr>
      <w:r w:rsidRPr="002F36B5">
        <w:rPr>
          <w:rFonts w:ascii="Calibri" w:eastAsia="Calibri" w:hAnsi="Calibri" w:cs="Calibri"/>
          <w:iCs w:val="0"/>
          <w:color w:val="2F5496"/>
        </w:rPr>
        <w:t xml:space="preserve">Please mark </w:t>
      </w:r>
      <w:r w:rsidR="008D5DB5" w:rsidRPr="002F36B5">
        <w:rPr>
          <w:rFonts w:ascii="Calibri" w:eastAsia="Calibri" w:hAnsi="Calibri" w:cs="Calibri"/>
          <w:iCs w:val="0"/>
          <w:color w:val="2F5496"/>
        </w:rPr>
        <w:t xml:space="preserve">the </w:t>
      </w:r>
      <w:r w:rsidRPr="002F36B5">
        <w:rPr>
          <w:rFonts w:ascii="Calibri" w:eastAsia="Calibri" w:hAnsi="Calibri" w:cs="Calibri"/>
          <w:iCs w:val="0"/>
          <w:color w:val="2F5496"/>
        </w:rPr>
        <w:t xml:space="preserve">technologies with access to Intraday Markets </w:t>
      </w:r>
    </w:p>
    <w:p w14:paraId="665B92E9" w14:textId="77777777" w:rsidR="00FC35E5"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 xml:space="preserve">Residential or small-scale Solar PV </w:t>
      </w:r>
    </w:p>
    <w:p w14:paraId="621FF43F"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Other distributed generation</w:t>
      </w:r>
    </w:p>
    <w:p w14:paraId="7EE9FB89" w14:textId="77777777" w:rsidR="00FC35E5" w:rsidRDefault="00FC35E5" w:rsidP="00FC35E5">
      <w:pPr>
        <w:ind w:left="360"/>
      </w:pPr>
      <w:r w:rsidRPr="00A80632">
        <w:rPr>
          <w:rFonts w:ascii="Segoe UI Symbol" w:hAnsi="Segoe UI Symbol" w:cs="Segoe UI Symbol"/>
          <w:highlight w:val="green"/>
        </w:rPr>
        <w:lastRenderedPageBreak/>
        <w:t>☐</w:t>
      </w:r>
      <w:r>
        <w:rPr>
          <w:rFonts w:ascii="Segoe UI Symbol" w:hAnsi="Segoe UI Symbol" w:cs="Segoe UI Symbol"/>
        </w:rPr>
        <w:t xml:space="preserve"> Small-scale </w:t>
      </w:r>
      <w:r>
        <w:t>b</w:t>
      </w:r>
      <w:r w:rsidRPr="00B96783">
        <w:t>attery storage</w:t>
      </w:r>
      <w:r>
        <w:t xml:space="preserve"> (aggregated)</w:t>
      </w:r>
    </w:p>
    <w:p w14:paraId="7163B120"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t>Utility scale storage</w:t>
      </w:r>
    </w:p>
    <w:p w14:paraId="188F0A4B"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rsidRPr="00B96783">
        <w:t>Demand Response from commercial and industrial consumers</w:t>
      </w:r>
    </w:p>
    <w:p w14:paraId="428AA7DA" w14:textId="77777777" w:rsidR="00FC35E5" w:rsidRPr="00B96783" w:rsidRDefault="00FC35E5" w:rsidP="00FC35E5">
      <w:pPr>
        <w:ind w:left="360"/>
      </w:pPr>
      <w:r w:rsidRPr="00A80632">
        <w:rPr>
          <w:rFonts w:ascii="Segoe UI Symbol" w:hAnsi="Segoe UI Symbol" w:cs="Segoe UI Symbol"/>
          <w:highlight w:val="green"/>
        </w:rPr>
        <w:t>☐</w:t>
      </w:r>
      <w:r>
        <w:rPr>
          <w:rFonts w:ascii="Segoe UI Symbol" w:hAnsi="Segoe UI Symbol" w:cs="Segoe UI Symbol"/>
        </w:rPr>
        <w:t xml:space="preserve"> </w:t>
      </w:r>
      <w:r w:rsidRPr="00B96783">
        <w:t>Demand Response from households</w:t>
      </w:r>
      <w:r>
        <w:t xml:space="preserve"> (through aggregators or suppliers)</w:t>
      </w:r>
    </w:p>
    <w:p w14:paraId="5DF65F2B" w14:textId="6326C6FD" w:rsidR="00C54045" w:rsidRDefault="00370907" w:rsidP="00C54045">
      <w:r>
        <w:t>Comment</w:t>
      </w:r>
      <w:r w:rsidR="00C54045">
        <w:t>:</w:t>
      </w:r>
    </w:p>
    <w:p w14:paraId="61DFD397" w14:textId="77777777" w:rsidR="00FC35E5" w:rsidRDefault="00FC35E5" w:rsidP="00EA25AD">
      <w:pPr>
        <w:spacing w:before="40"/>
        <w:rPr>
          <w:sz w:val="30"/>
          <w:szCs w:val="30"/>
        </w:rPr>
      </w:pPr>
    </w:p>
    <w:p w14:paraId="169EECAB" w14:textId="77777777" w:rsidR="00EA25AD" w:rsidRPr="0001520A" w:rsidRDefault="00EA25AD" w:rsidP="00B3632E">
      <w:pPr>
        <w:spacing w:before="40"/>
        <w:ind w:firstLine="720"/>
        <w:rPr>
          <w:i/>
          <w:color w:val="2F5496"/>
        </w:rPr>
      </w:pPr>
      <w:r w:rsidRPr="0001520A">
        <w:rPr>
          <w:i/>
          <w:color w:val="2F5496"/>
        </w:rPr>
        <w:t>Is it possible to distinguish the types of assets participating to wholesales markets, notably generation or demand assets?</w:t>
      </w:r>
    </w:p>
    <w:p w14:paraId="12FC2A85" w14:textId="77777777" w:rsidR="002F36B5" w:rsidRDefault="00E86B66" w:rsidP="002F36B5">
      <w:pPr>
        <w:ind w:left="360"/>
      </w:pPr>
      <w:sdt>
        <w:sdtPr>
          <w:tag w:val="goog_rdk_2"/>
          <w:id w:val="185109579"/>
        </w:sdtPr>
        <w:sdtEndPr/>
        <w:sdtContent>
          <w:r w:rsidR="002F36B5">
            <w:rPr>
              <w:rFonts w:ascii="Arial Unicode MS" w:eastAsia="Arial Unicode MS" w:hAnsi="Arial Unicode MS" w:cs="Arial Unicode MS"/>
            </w:rPr>
            <w:t>☐</w:t>
          </w:r>
        </w:sdtContent>
      </w:sdt>
      <w:r w:rsidR="002F36B5">
        <w:t xml:space="preserve"> Yes</w:t>
      </w:r>
      <w:r w:rsidR="002F36B5">
        <w:tab/>
      </w:r>
    </w:p>
    <w:p w14:paraId="6EF7E49D" w14:textId="77777777" w:rsidR="002F36B5" w:rsidRDefault="00E86B66" w:rsidP="002F36B5">
      <w:pPr>
        <w:ind w:left="360"/>
      </w:pPr>
      <w:sdt>
        <w:sdtPr>
          <w:tag w:val="goog_rdk_3"/>
          <w:id w:val="2021963462"/>
        </w:sdtPr>
        <w:sdtEndPr/>
        <w:sdtContent>
          <w:r w:rsidR="002F36B5" w:rsidRPr="00A80632">
            <w:rPr>
              <w:rFonts w:ascii="Arial Unicode MS" w:eastAsia="Arial Unicode MS" w:hAnsi="Arial Unicode MS" w:cs="Arial Unicode MS"/>
              <w:highlight w:val="green"/>
            </w:rPr>
            <w:t>☐</w:t>
          </w:r>
        </w:sdtContent>
      </w:sdt>
      <w:r w:rsidR="002F36B5">
        <w:t xml:space="preserve"> No</w:t>
      </w:r>
    </w:p>
    <w:p w14:paraId="4059B069" w14:textId="77777777" w:rsidR="00EA25AD" w:rsidRDefault="00EA25AD" w:rsidP="00EA25AD">
      <w:pPr>
        <w:spacing w:before="40"/>
        <w:rPr>
          <w:sz w:val="30"/>
          <w:szCs w:val="30"/>
        </w:rPr>
      </w:pPr>
    </w:p>
    <w:p w14:paraId="4BD179B2" w14:textId="77777777" w:rsidR="00EA25AD" w:rsidRPr="00C54045" w:rsidRDefault="00EA25AD" w:rsidP="00C54045">
      <w:pPr>
        <w:spacing w:before="40"/>
        <w:ind w:firstLine="720"/>
        <w:rPr>
          <w:i/>
          <w:color w:val="2F5496"/>
        </w:rPr>
      </w:pPr>
      <w:bookmarkStart w:id="9" w:name="_heading=h.n7me6mbdlufj" w:colFirst="0" w:colLast="0"/>
      <w:bookmarkEnd w:id="9"/>
      <w:r>
        <w:rPr>
          <w:i/>
          <w:color w:val="2F5496"/>
        </w:rPr>
        <w:t>If yes, p</w:t>
      </w:r>
      <w:r w:rsidRPr="00604562">
        <w:rPr>
          <w:i/>
          <w:color w:val="2F5496"/>
        </w:rPr>
        <w:t xml:space="preserve">lease describe </w:t>
      </w:r>
      <w:r>
        <w:rPr>
          <w:i/>
          <w:color w:val="2F5496"/>
        </w:rPr>
        <w:t>the types of decentralised energy resources (i.e. distributed generation, energy storage facilities and demand response) participating in wholesale markets. Does it vary between Day-Ahead and Intraday markets?</w:t>
      </w:r>
    </w:p>
    <w:p w14:paraId="25A90CC9" w14:textId="615C4EDD" w:rsidR="00B3632E" w:rsidRDefault="00EA25AD" w:rsidP="00C54045">
      <w:r>
        <w:t>Comment:</w:t>
      </w:r>
    </w:p>
    <w:p w14:paraId="4B29F5AA" w14:textId="77777777" w:rsidR="00EA25AD" w:rsidRDefault="00EA25AD" w:rsidP="00EA25AD">
      <w:pPr>
        <w:ind w:firstLine="720"/>
        <w:rPr>
          <w:i/>
          <w:color w:val="2F5496"/>
        </w:rPr>
      </w:pPr>
    </w:p>
    <w:p w14:paraId="23C25845" w14:textId="77777777" w:rsidR="00EA25AD" w:rsidRDefault="00EA25AD" w:rsidP="00EA25AD">
      <w:pPr>
        <w:ind w:firstLine="720"/>
        <w:rPr>
          <w:i/>
          <w:color w:val="2F5496"/>
        </w:rPr>
      </w:pPr>
      <w:r>
        <w:rPr>
          <w:i/>
          <w:color w:val="2F5496"/>
        </w:rPr>
        <w:t>How many independent aggregators or aggregators are registered to participate in wholesale markets in the country you are replying for?</w:t>
      </w:r>
    </w:p>
    <w:p w14:paraId="71C11CEA" w14:textId="5B9F3E3A" w:rsidR="00EA25AD" w:rsidRDefault="00EA25AD" w:rsidP="00EA25AD">
      <w:r>
        <w:t xml:space="preserve">Comment: </w:t>
      </w:r>
      <w:r w:rsidR="00A80632">
        <w:t>4</w:t>
      </w:r>
    </w:p>
    <w:p w14:paraId="187F32A6" w14:textId="77777777" w:rsidR="00EA25AD" w:rsidRDefault="00EA25AD" w:rsidP="00EA25AD">
      <w:pPr>
        <w:ind w:firstLine="720"/>
        <w:rPr>
          <w:i/>
          <w:color w:val="2F5496"/>
        </w:rPr>
      </w:pPr>
    </w:p>
    <w:p w14:paraId="62C6C4AC" w14:textId="77777777" w:rsidR="00EA25AD" w:rsidRDefault="00EA25AD" w:rsidP="00EA25AD">
      <w:pPr>
        <w:ind w:firstLine="720"/>
        <w:rPr>
          <w:i/>
          <w:color w:val="2F5496"/>
        </w:rPr>
      </w:pPr>
      <w:r>
        <w:rPr>
          <w:i/>
          <w:color w:val="2F5496"/>
        </w:rPr>
        <w:t>What are the amounts of explicitly activated volumes from demand-side resources?</w:t>
      </w:r>
    </w:p>
    <w:p w14:paraId="7E73E76D" w14:textId="32B18201" w:rsidR="00EA25AD" w:rsidRDefault="00EA25AD" w:rsidP="00EA25AD">
      <w:r>
        <w:t xml:space="preserve">Comment: </w:t>
      </w:r>
      <w:r w:rsidR="00AE1BEE" w:rsidRPr="00AE1BEE">
        <w:t>2437</w:t>
      </w:r>
      <w:r w:rsidR="00AE1BEE">
        <w:t xml:space="preserve"> MWh (in 2022). Data from 2023 is yet to come from TSOs. However, this is only in Balancing Markets. No DSR in DA or ID markets.</w:t>
      </w:r>
    </w:p>
    <w:p w14:paraId="3F8244D9" w14:textId="77777777" w:rsidR="00EA25AD" w:rsidRDefault="00EA25AD" w:rsidP="00EA25AD"/>
    <w:p w14:paraId="0398033D" w14:textId="77777777" w:rsidR="00EA25AD" w:rsidRDefault="00EA25AD" w:rsidP="00EA25AD">
      <w:pPr>
        <w:ind w:firstLine="720"/>
        <w:rPr>
          <w:i/>
          <w:color w:val="2F5496"/>
        </w:rPr>
      </w:pPr>
    </w:p>
    <w:p w14:paraId="79C0FCCB" w14:textId="77777777" w:rsidR="00EA25AD" w:rsidRDefault="00EA25AD" w:rsidP="00EA25AD">
      <w:pPr>
        <w:rPr>
          <w:b/>
          <w:sz w:val="28"/>
          <w:szCs w:val="28"/>
        </w:rPr>
      </w:pPr>
      <w:bookmarkStart w:id="10" w:name="_heading=h.lpuljuuhu0t9" w:colFirst="0" w:colLast="0"/>
      <w:bookmarkEnd w:id="10"/>
      <w:r>
        <w:rPr>
          <w:color w:val="2F5496"/>
          <w:sz w:val="32"/>
          <w:szCs w:val="32"/>
        </w:rPr>
        <w:t>Benefits observed</w:t>
      </w:r>
    </w:p>
    <w:p w14:paraId="7BAEFC71" w14:textId="77777777" w:rsidR="00EA25AD" w:rsidRDefault="00EA25AD" w:rsidP="00EA25AD">
      <w:pPr>
        <w:pStyle w:val="Heading4"/>
        <w:ind w:firstLine="720"/>
        <w:rPr>
          <w:rFonts w:ascii="Calibri" w:eastAsia="Calibri" w:hAnsi="Calibri" w:cs="Calibri"/>
          <w:iCs w:val="0"/>
          <w:color w:val="2F5496"/>
        </w:rPr>
      </w:pPr>
      <w:r w:rsidRPr="00B3632E">
        <w:rPr>
          <w:rFonts w:ascii="Calibri" w:eastAsia="Calibri" w:hAnsi="Calibri" w:cs="Calibri"/>
          <w:iCs w:val="0"/>
          <w:color w:val="2F5496"/>
        </w:rPr>
        <w:t>If Demand-Side Flexibility is active in the wholesale market, is there a measurable reduction in wholesale prices?</w:t>
      </w:r>
    </w:p>
    <w:p w14:paraId="1694DE8A" w14:textId="77777777" w:rsidR="00370907" w:rsidRDefault="00370907" w:rsidP="00370907">
      <w:pPr>
        <w:ind w:left="360"/>
      </w:pPr>
      <w:r>
        <w:rPr>
          <w:rFonts w:ascii="MS Gothic" w:eastAsia="MS Gothic" w:hAnsi="MS Gothic" w:cs="MS Gothic"/>
        </w:rPr>
        <w:t>☐</w:t>
      </w:r>
      <w:r>
        <w:t xml:space="preserve"> Yes </w:t>
      </w:r>
    </w:p>
    <w:p w14:paraId="5CAA914B" w14:textId="2EE8C38D" w:rsidR="00370907" w:rsidRPr="00370907" w:rsidRDefault="00370907" w:rsidP="00370907">
      <w:pPr>
        <w:ind w:left="360"/>
      </w:pPr>
      <w:r w:rsidRPr="00AE1BEE">
        <w:rPr>
          <w:rFonts w:ascii="MS Gothic" w:eastAsia="MS Gothic" w:hAnsi="MS Gothic" w:cs="MS Gothic"/>
          <w:highlight w:val="green"/>
        </w:rPr>
        <w:t>☐</w:t>
      </w:r>
      <w:r>
        <w:t xml:space="preserve"> No</w:t>
      </w:r>
    </w:p>
    <w:p w14:paraId="03176F45" w14:textId="77777777" w:rsidR="00EA25AD" w:rsidRDefault="00EA25AD" w:rsidP="00EA25AD">
      <w:r>
        <w:t xml:space="preserve">Comment: </w:t>
      </w:r>
    </w:p>
    <w:p w14:paraId="3514530E" w14:textId="77777777" w:rsidR="00EA25AD" w:rsidRPr="00604562" w:rsidRDefault="00EA25AD" w:rsidP="00EA25AD"/>
    <w:p w14:paraId="67C30146" w14:textId="77777777" w:rsidR="00EA25AD" w:rsidRPr="00B3632E" w:rsidRDefault="00EA25AD" w:rsidP="00EA25AD">
      <w:pPr>
        <w:pStyle w:val="Heading4"/>
        <w:ind w:firstLine="720"/>
        <w:rPr>
          <w:rFonts w:ascii="Calibri" w:eastAsia="Calibri" w:hAnsi="Calibri" w:cs="Calibri"/>
          <w:iCs w:val="0"/>
          <w:color w:val="2F5496"/>
        </w:rPr>
      </w:pPr>
      <w:r w:rsidRPr="00B3632E">
        <w:rPr>
          <w:rFonts w:ascii="Calibri" w:eastAsia="Calibri" w:hAnsi="Calibri" w:cs="Calibri"/>
          <w:iCs w:val="0"/>
          <w:color w:val="2F5496"/>
        </w:rPr>
        <w:lastRenderedPageBreak/>
        <w:t xml:space="preserve">What is the average discount in consumer bills if they participate in wholesale markets through implicit flexibility compared to consumers that do not? </w:t>
      </w:r>
    </w:p>
    <w:p w14:paraId="3F14CC52" w14:textId="2DCB9B46" w:rsidR="00EA25AD" w:rsidRDefault="00EA25AD" w:rsidP="00EA25AD">
      <w:r>
        <w:t xml:space="preserve">Comment: </w:t>
      </w:r>
      <w:r w:rsidR="00AE1BEE">
        <w:t>-</w:t>
      </w:r>
    </w:p>
    <w:p w14:paraId="040F9E9E" w14:textId="65DDAFAB" w:rsidR="0072774A" w:rsidRDefault="0072774A" w:rsidP="00EA25AD"/>
    <w:p w14:paraId="62B6A76D" w14:textId="4D181367" w:rsidR="0072774A" w:rsidRPr="00B3632E" w:rsidRDefault="0072774A" w:rsidP="00B3632E">
      <w:pPr>
        <w:pStyle w:val="Heading4"/>
        <w:ind w:firstLine="720"/>
        <w:rPr>
          <w:rFonts w:ascii="Calibri" w:eastAsia="Calibri" w:hAnsi="Calibri" w:cs="Calibri"/>
          <w:iCs w:val="0"/>
          <w:color w:val="2F5496"/>
        </w:rPr>
      </w:pPr>
      <w:r w:rsidRPr="00B3632E">
        <w:rPr>
          <w:rFonts w:ascii="Calibri" w:eastAsia="Calibri" w:hAnsi="Calibri" w:cs="Calibri"/>
          <w:iCs w:val="0"/>
          <w:color w:val="2F5496"/>
        </w:rPr>
        <w:t>What is the average value (in €) for 1 MW of flexibility?</w:t>
      </w:r>
    </w:p>
    <w:p w14:paraId="467E3A91" w14:textId="50F062F8" w:rsidR="0072774A" w:rsidRDefault="0072774A" w:rsidP="00EA25AD">
      <w:r>
        <w:t>Comment:</w:t>
      </w:r>
      <w:r w:rsidR="00AE1BEE">
        <w:t xml:space="preserve"> -</w:t>
      </w:r>
    </w:p>
    <w:p w14:paraId="1BEF433A" w14:textId="77777777" w:rsidR="00EA25AD" w:rsidRDefault="00EA25AD" w:rsidP="00EA25AD"/>
    <w:p w14:paraId="44F2CEF4" w14:textId="77777777" w:rsidR="00EA25AD" w:rsidRDefault="00EA25AD" w:rsidP="00EA25AD">
      <w:pPr>
        <w:pStyle w:val="Heading3"/>
        <w:rPr>
          <w:b/>
          <w:color w:val="1F3863"/>
        </w:rPr>
      </w:pPr>
      <w:bookmarkStart w:id="11" w:name="_heading=h.ooav3kx7b3dd" w:colFirst="0" w:colLast="0"/>
      <w:bookmarkStart w:id="12" w:name="_heading=h.2vyww8r3hp8s" w:colFirst="0" w:colLast="0"/>
      <w:bookmarkEnd w:id="11"/>
      <w:bookmarkEnd w:id="12"/>
      <w:r>
        <w:rPr>
          <w:color w:val="2F5496"/>
          <w:sz w:val="32"/>
          <w:szCs w:val="32"/>
        </w:rPr>
        <w:t>Roadmap</w:t>
      </w:r>
    </w:p>
    <w:p w14:paraId="31FA3A09" w14:textId="77777777" w:rsidR="00EA25AD" w:rsidRPr="00B3632E" w:rsidRDefault="00EA25AD" w:rsidP="00EA25AD">
      <w:pPr>
        <w:pStyle w:val="Heading4"/>
        <w:ind w:firstLine="720"/>
        <w:rPr>
          <w:rFonts w:ascii="Calibri" w:eastAsia="Calibri" w:hAnsi="Calibri" w:cs="Calibri"/>
          <w:iCs w:val="0"/>
          <w:color w:val="2F5496"/>
        </w:rPr>
      </w:pPr>
      <w:r w:rsidRPr="00B3632E">
        <w:rPr>
          <w:rFonts w:ascii="Calibri" w:eastAsia="Calibri" w:hAnsi="Calibri" w:cs="Calibri"/>
          <w:iCs w:val="0"/>
          <w:color w:val="2F5496"/>
        </w:rPr>
        <w:t xml:space="preserve">Are there any trials or regulatory sandboxes that would allow any of these technologies to access wholesale markets? </w:t>
      </w:r>
    </w:p>
    <w:p w14:paraId="67914B7A" w14:textId="77777777" w:rsidR="00EA25AD" w:rsidRDefault="00EA25AD" w:rsidP="00EA25AD">
      <w:pPr>
        <w:ind w:left="360"/>
      </w:pPr>
      <w:r>
        <w:rPr>
          <w:rFonts w:ascii="MS Gothic" w:eastAsia="MS Gothic" w:hAnsi="MS Gothic" w:cs="MS Gothic"/>
        </w:rPr>
        <w:t>☐</w:t>
      </w:r>
      <w:r>
        <w:t xml:space="preserve"> Yes </w:t>
      </w:r>
    </w:p>
    <w:p w14:paraId="202EA491" w14:textId="438206B8" w:rsidR="00EA25AD" w:rsidRDefault="00EA25AD" w:rsidP="00FA7758">
      <w:pPr>
        <w:ind w:left="360"/>
      </w:pPr>
      <w:r w:rsidRPr="00920A24">
        <w:rPr>
          <w:rFonts w:ascii="MS Gothic" w:eastAsia="MS Gothic" w:hAnsi="MS Gothic" w:cs="MS Gothic"/>
          <w:highlight w:val="green"/>
        </w:rPr>
        <w:t>☐</w:t>
      </w:r>
      <w:r>
        <w:t xml:space="preserve"> No</w:t>
      </w:r>
    </w:p>
    <w:p w14:paraId="386C1662" w14:textId="77777777" w:rsidR="00EA25AD" w:rsidRDefault="00EA25AD" w:rsidP="00EA25AD">
      <w:r>
        <w:t>If yes, please provide background to the sandbox or trial</w:t>
      </w:r>
      <w:r w:rsidRPr="00604562">
        <w:t>:</w:t>
      </w:r>
    </w:p>
    <w:p w14:paraId="25A380EC" w14:textId="77777777" w:rsidR="00EA25AD" w:rsidRDefault="00EA25AD" w:rsidP="00EA25AD">
      <w:pPr>
        <w:ind w:firstLine="720"/>
        <w:rPr>
          <w:i/>
          <w:color w:val="2F5496"/>
        </w:rPr>
      </w:pPr>
    </w:p>
    <w:p w14:paraId="0C95B6FA" w14:textId="77777777" w:rsidR="00EA25AD" w:rsidRDefault="00EA25AD" w:rsidP="00EA25AD">
      <w:pPr>
        <w:ind w:firstLine="720"/>
      </w:pPr>
      <w:r>
        <w:rPr>
          <w:i/>
          <w:color w:val="2F5496"/>
        </w:rPr>
        <w:t>Is there a national plan for the implementation of the following aspects that might facilitate the access of DSF to wholesale markets?</w:t>
      </w:r>
    </w:p>
    <w:p w14:paraId="6699551B" w14:textId="77777777" w:rsidR="00EA25AD" w:rsidRDefault="00EA25AD" w:rsidP="00EA25AD">
      <w:pPr>
        <w:ind w:left="360"/>
      </w:pPr>
      <w:r w:rsidRPr="00920A24">
        <w:rPr>
          <w:rFonts w:ascii="MS Gothic" w:eastAsia="MS Gothic" w:hAnsi="MS Gothic" w:cs="MS Gothic"/>
          <w:highlight w:val="green"/>
        </w:rPr>
        <w:t>☐</w:t>
      </w:r>
      <w:r>
        <w:t xml:space="preserve"> Independent aggregator framework</w:t>
      </w:r>
      <w:r>
        <w:tab/>
      </w:r>
    </w:p>
    <w:p w14:paraId="2362E72B" w14:textId="77777777" w:rsidR="00EA25AD" w:rsidRDefault="00EA25AD" w:rsidP="00EA25AD">
      <w:pPr>
        <w:ind w:left="360"/>
      </w:pPr>
      <w:r>
        <w:rPr>
          <w:rFonts w:ascii="MS Gothic" w:eastAsia="MS Gothic" w:hAnsi="MS Gothic" w:cs="MS Gothic"/>
        </w:rPr>
        <w:t>☐</w:t>
      </w:r>
      <w:r>
        <w:t xml:space="preserve"> Access to wholesale markets</w:t>
      </w:r>
    </w:p>
    <w:p w14:paraId="244B27DA" w14:textId="77777777" w:rsidR="00EA25AD" w:rsidRDefault="00EA25AD" w:rsidP="00EA25AD">
      <w:r>
        <w:t xml:space="preserve">Comment: </w:t>
      </w:r>
    </w:p>
    <w:p w14:paraId="7052150A" w14:textId="77777777" w:rsidR="00FA7758" w:rsidRDefault="00FA7758" w:rsidP="00EA25AD"/>
    <w:p w14:paraId="724497C1" w14:textId="77777777" w:rsidR="00EA25AD" w:rsidRPr="001A638E" w:rsidRDefault="00EA25AD" w:rsidP="00EA25AD">
      <w:pPr>
        <w:ind w:firstLine="720"/>
        <w:rPr>
          <w:i/>
          <w:color w:val="2F5496"/>
        </w:rPr>
      </w:pPr>
      <w:r>
        <w:rPr>
          <w:i/>
          <w:color w:val="2F5496"/>
        </w:rPr>
        <w:t>Could you provide a timeline for the roadmap?</w:t>
      </w:r>
    </w:p>
    <w:p w14:paraId="4C7EC4D8" w14:textId="77A5E3ED" w:rsidR="00EA25AD" w:rsidRDefault="00EA25AD" w:rsidP="00EA25AD">
      <w:r>
        <w:t xml:space="preserve">Comment: </w:t>
      </w:r>
      <w:r w:rsidR="00920A24">
        <w:t>By the end of 2024 or beginning of 2025 to have established framework for DSR participation in ID and DA markets.</w:t>
      </w:r>
    </w:p>
    <w:p w14:paraId="09DA1387" w14:textId="77777777" w:rsidR="00FA7758" w:rsidRDefault="00FA7758" w:rsidP="00EA25AD"/>
    <w:p w14:paraId="36526484" w14:textId="2F1AB61D" w:rsidR="00EA25AD" w:rsidRDefault="00EA25AD" w:rsidP="00EA25AD">
      <w:pPr>
        <w:ind w:firstLine="720"/>
        <w:rPr>
          <w:i/>
          <w:color w:val="2F5496"/>
        </w:rPr>
      </w:pPr>
      <w:r>
        <w:rPr>
          <w:i/>
          <w:color w:val="2F5496"/>
        </w:rPr>
        <w:t>In your opinion, would this roadmap be sufficient for opening wholesale markets to DSF? If not, what is lacking?</w:t>
      </w:r>
      <w:r w:rsidR="002B36D7">
        <w:rPr>
          <w:i/>
          <w:color w:val="2F5496"/>
        </w:rPr>
        <w:t xml:space="preserve"> </w:t>
      </w:r>
    </w:p>
    <w:p w14:paraId="11E6F1D3" w14:textId="2B83C29D" w:rsidR="00EA25AD" w:rsidRPr="001A638E" w:rsidRDefault="00EA25AD" w:rsidP="00EA25AD">
      <w:pPr>
        <w:rPr>
          <w:i/>
          <w:color w:val="2F5496"/>
        </w:rPr>
      </w:pPr>
      <w:r>
        <w:t xml:space="preserve">Comment: </w:t>
      </w:r>
      <w:r w:rsidR="002B36D7">
        <w:t>It should be sufficient.</w:t>
      </w:r>
    </w:p>
    <w:p w14:paraId="63D7E545" w14:textId="77777777" w:rsidR="00EA25AD" w:rsidRDefault="00EA25AD" w:rsidP="00EA25AD"/>
    <w:p w14:paraId="6C837C0E" w14:textId="6024AC8E" w:rsidR="00EA25AD" w:rsidRDefault="00EA25AD" w:rsidP="00EA25AD">
      <w:pPr>
        <w:ind w:firstLine="720"/>
        <w:rPr>
          <w:i/>
          <w:color w:val="2F5496"/>
        </w:rPr>
      </w:pPr>
      <w:r>
        <w:rPr>
          <w:i/>
          <w:color w:val="2F5496"/>
        </w:rPr>
        <w:t xml:space="preserve">Do you have any further </w:t>
      </w:r>
      <w:r w:rsidR="00370907">
        <w:rPr>
          <w:i/>
          <w:color w:val="2F5496"/>
        </w:rPr>
        <w:t>comments</w:t>
      </w:r>
      <w:r>
        <w:rPr>
          <w:i/>
          <w:color w:val="2F5496"/>
        </w:rPr>
        <w:t xml:space="preserve"> </w:t>
      </w:r>
      <w:r w:rsidR="00DE532C">
        <w:rPr>
          <w:i/>
          <w:color w:val="2F5496"/>
        </w:rPr>
        <w:t>on</w:t>
      </w:r>
      <w:r>
        <w:rPr>
          <w:i/>
          <w:color w:val="2F5496"/>
        </w:rPr>
        <w:t xml:space="preserve"> the measures that were introduced or are going to be introduced in your country?</w:t>
      </w:r>
    </w:p>
    <w:p w14:paraId="0B3B05D2" w14:textId="78CDDB2C" w:rsidR="00EA25AD" w:rsidRDefault="00EA25AD" w:rsidP="00EA25AD">
      <w:r>
        <w:t xml:space="preserve">Comment: </w:t>
      </w:r>
      <w:r w:rsidR="002B36D7">
        <w:t>-</w:t>
      </w:r>
    </w:p>
    <w:p w14:paraId="725B0FF2" w14:textId="77777777" w:rsidR="00EA25AD" w:rsidRDefault="00EA25AD" w:rsidP="00EA25AD">
      <w:pPr>
        <w:ind w:firstLine="720"/>
      </w:pPr>
    </w:p>
    <w:p w14:paraId="2F680CA3" w14:textId="77777777" w:rsidR="00EA25AD" w:rsidRDefault="00EA25AD">
      <w:pPr>
        <w:spacing w:after="0" w:line="240" w:lineRule="auto"/>
        <w:jc w:val="both"/>
      </w:pPr>
    </w:p>
    <w:p w14:paraId="7C60D0E3" w14:textId="77777777" w:rsidR="00EA25AD" w:rsidRDefault="00EA25AD">
      <w:pPr>
        <w:spacing w:after="0" w:line="240" w:lineRule="auto"/>
        <w:jc w:val="both"/>
      </w:pPr>
    </w:p>
    <w:p w14:paraId="44D9B326" w14:textId="77777777" w:rsidR="00EA25AD" w:rsidRDefault="00EA25AD">
      <w:pPr>
        <w:spacing w:after="0" w:line="240" w:lineRule="auto"/>
        <w:jc w:val="both"/>
      </w:pPr>
    </w:p>
    <w:sectPr w:rsidR="00EA25AD">
      <w:headerReference w:type="default" r:id="rId14"/>
      <w:footerReference w:type="default" r:id="rId15"/>
      <w:pgSz w:w="11906" w:h="16838"/>
      <w:pgMar w:top="1440" w:right="1361" w:bottom="1440" w:left="1361" w:header="567"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B9453" w14:textId="77777777" w:rsidR="00D058ED" w:rsidRDefault="00D058ED">
      <w:pPr>
        <w:spacing w:after="0" w:line="240" w:lineRule="auto"/>
      </w:pPr>
      <w:r>
        <w:separator/>
      </w:r>
    </w:p>
  </w:endnote>
  <w:endnote w:type="continuationSeparator" w:id="0">
    <w:p w14:paraId="69196516" w14:textId="77777777" w:rsidR="00D058ED" w:rsidRDefault="00D0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embedRegular r:id="rId1" w:fontKey="{088936C3-6794-4B47-8445-8FAAA0654D10}"/>
    <w:embedBold r:id="rId2" w:fontKey="{40B5E850-3750-43AA-97A6-91F1FCBBFDC6}"/>
    <w:embedItalic r:id="rId3" w:fontKey="{4202C496-5047-4425-917D-1962B177BAC4}"/>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30ABAEBB-0C23-4EC5-A997-BF78FC066145}"/>
  </w:font>
  <w:font w:name="Calibri Light">
    <w:panose1 w:val="020F0302020204030204"/>
    <w:charset w:val="BA"/>
    <w:family w:val="swiss"/>
    <w:pitch w:val="variable"/>
    <w:sig w:usb0="E4002EFF" w:usb1="C000247B" w:usb2="00000009" w:usb3="00000000" w:csb0="000001FF" w:csb1="00000000"/>
    <w:embedRegular r:id="rId5" w:fontKey="{A8C03950-AA7E-4E74-A9D8-17A7DBD37569}"/>
    <w:embedBold r:id="rId6" w:fontKey="{FE94E14C-C6F9-4B07-BA72-5B22F8841D17}"/>
    <w:embedItalic r:id="rId7" w:fontKey="{29240686-27C0-4562-AE3B-F8EF25BDA077}"/>
  </w:font>
  <w:font w:name="Georgia">
    <w:panose1 w:val="02040502050405020303"/>
    <w:charset w:val="BA"/>
    <w:family w:val="roman"/>
    <w:pitch w:val="variable"/>
    <w:sig w:usb0="00000287" w:usb1="00000000" w:usb2="00000000" w:usb3="00000000" w:csb0="0000009F" w:csb1="00000000"/>
    <w:embedRegular r:id="rId8" w:fontKey="{02727691-0EDE-4F1D-9C29-09741DAB6780}"/>
    <w:embedItalic r:id="rId9" w:fontKey="{FC49EB53-1250-45D0-B964-820985412F8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3682771-CEF7-434C-8FB6-90AC20139994}"/>
  </w:font>
  <w:font w:name="Segoe UI Symbol">
    <w:panose1 w:val="020B0502040204020203"/>
    <w:charset w:val="00"/>
    <w:family w:val="swiss"/>
    <w:pitch w:val="variable"/>
    <w:sig w:usb0="800001E3" w:usb1="1200FFEF" w:usb2="00040000" w:usb3="00000000" w:csb0="00000001" w:csb1="00000000"/>
    <w:embedRegular r:id="rId11" w:fontKey="{4677C379-F79A-43E4-9A74-59EC1E1E43FA}"/>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B2F7" w14:textId="77777777" w:rsidR="003771C5" w:rsidRDefault="00E86B66">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CC018C">
      <w:rPr>
        <w:noProof/>
        <w:color w:val="000000"/>
      </w:rPr>
      <w:t>1</w:t>
    </w:r>
    <w:r>
      <w:rPr>
        <w:color w:val="000000"/>
      </w:rPr>
      <w:fldChar w:fldCharType="end"/>
    </w:r>
  </w:p>
  <w:p w14:paraId="360D85D9" w14:textId="77777777" w:rsidR="003771C5" w:rsidRDefault="003771C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F3EC3" w14:textId="77777777" w:rsidR="00D058ED" w:rsidRDefault="00D058ED">
      <w:pPr>
        <w:spacing w:after="0" w:line="240" w:lineRule="auto"/>
      </w:pPr>
      <w:r>
        <w:separator/>
      </w:r>
    </w:p>
  </w:footnote>
  <w:footnote w:type="continuationSeparator" w:id="0">
    <w:p w14:paraId="532D92FF" w14:textId="77777777" w:rsidR="00D058ED" w:rsidRDefault="00D0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7CFF" w14:textId="77777777" w:rsidR="003771C5" w:rsidRDefault="00E86B66">
    <w:pPr>
      <w:pBdr>
        <w:top w:val="nil"/>
        <w:left w:val="nil"/>
        <w:bottom w:val="nil"/>
        <w:right w:val="nil"/>
        <w:between w:val="nil"/>
      </w:pBdr>
      <w:tabs>
        <w:tab w:val="center" w:pos="4513"/>
        <w:tab w:val="right" w:pos="9026"/>
      </w:tabs>
      <w:spacing w:after="0" w:line="240" w:lineRule="auto"/>
      <w:rPr>
        <w:color w:val="000000"/>
      </w:rPr>
    </w:pPr>
    <w:r>
      <w:rPr>
        <w:noProof/>
        <w:color w:val="000000"/>
        <w:sz w:val="18"/>
        <w:szCs w:val="18"/>
      </w:rPr>
      <w:drawing>
        <wp:inline distT="0" distB="0" distL="0" distR="0" wp14:anchorId="3FD5BCCA" wp14:editId="05B86169">
          <wp:extent cx="1371600" cy="36258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71600" cy="362585"/>
                  </a:xfrm>
                  <a:prstGeom prst="rect">
                    <a:avLst/>
                  </a:prstGeom>
                  <a:ln/>
                </pic:spPr>
              </pic:pic>
            </a:graphicData>
          </a:graphic>
        </wp:inline>
      </w:drawing>
    </w:r>
  </w:p>
  <w:p w14:paraId="731F34E6" w14:textId="77777777" w:rsidR="003771C5" w:rsidRDefault="003771C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3229"/>
    <w:multiLevelType w:val="hybridMultilevel"/>
    <w:tmpl w:val="0682FBD4"/>
    <w:lvl w:ilvl="0" w:tplc="137CE3C8">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5B1D0C"/>
    <w:multiLevelType w:val="hybridMultilevel"/>
    <w:tmpl w:val="73F01AA4"/>
    <w:lvl w:ilvl="0" w:tplc="2F9AA42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8D492D"/>
    <w:multiLevelType w:val="hybridMultilevel"/>
    <w:tmpl w:val="1660B6F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E0D45BA"/>
    <w:multiLevelType w:val="hybridMultilevel"/>
    <w:tmpl w:val="4CCEF4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4D25006"/>
    <w:multiLevelType w:val="multilevel"/>
    <w:tmpl w:val="81E0E1B8"/>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E7411D"/>
    <w:multiLevelType w:val="multilevel"/>
    <w:tmpl w:val="6D4EA1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B064530"/>
    <w:multiLevelType w:val="hybridMultilevel"/>
    <w:tmpl w:val="18A273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95B246B"/>
    <w:multiLevelType w:val="hybridMultilevel"/>
    <w:tmpl w:val="4D6238D6"/>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C7D297B"/>
    <w:multiLevelType w:val="hybridMultilevel"/>
    <w:tmpl w:val="1A56B11C"/>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716791">
    <w:abstractNumId w:val="5"/>
  </w:num>
  <w:num w:numId="2" w16cid:durableId="636301542">
    <w:abstractNumId w:val="4"/>
  </w:num>
  <w:num w:numId="3" w16cid:durableId="143738944">
    <w:abstractNumId w:val="0"/>
  </w:num>
  <w:num w:numId="4" w16cid:durableId="1246107140">
    <w:abstractNumId w:val="3"/>
  </w:num>
  <w:num w:numId="5" w16cid:durableId="296642009">
    <w:abstractNumId w:val="2"/>
  </w:num>
  <w:num w:numId="6" w16cid:durableId="2059278072">
    <w:abstractNumId w:val="6"/>
  </w:num>
  <w:num w:numId="7" w16cid:durableId="1618902595">
    <w:abstractNumId w:val="7"/>
  </w:num>
  <w:num w:numId="8" w16cid:durableId="1405910041">
    <w:abstractNumId w:val="1"/>
  </w:num>
  <w:num w:numId="9" w16cid:durableId="1289105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1C5"/>
    <w:rsid w:val="00012FCF"/>
    <w:rsid w:val="000226F3"/>
    <w:rsid w:val="000B494D"/>
    <w:rsid w:val="001D7FF8"/>
    <w:rsid w:val="00283823"/>
    <w:rsid w:val="002B36D7"/>
    <w:rsid w:val="002D5174"/>
    <w:rsid w:val="002F36B5"/>
    <w:rsid w:val="003239B0"/>
    <w:rsid w:val="00370907"/>
    <w:rsid w:val="00373BF5"/>
    <w:rsid w:val="003771C5"/>
    <w:rsid w:val="00395571"/>
    <w:rsid w:val="0048695D"/>
    <w:rsid w:val="004A5140"/>
    <w:rsid w:val="004A7600"/>
    <w:rsid w:val="004F4415"/>
    <w:rsid w:val="00512C33"/>
    <w:rsid w:val="00524334"/>
    <w:rsid w:val="00570C21"/>
    <w:rsid w:val="005A7A8C"/>
    <w:rsid w:val="005E6FC3"/>
    <w:rsid w:val="00620077"/>
    <w:rsid w:val="0066248D"/>
    <w:rsid w:val="006648AF"/>
    <w:rsid w:val="006821A7"/>
    <w:rsid w:val="006C2385"/>
    <w:rsid w:val="006D0AA9"/>
    <w:rsid w:val="007007F0"/>
    <w:rsid w:val="007029D4"/>
    <w:rsid w:val="00710508"/>
    <w:rsid w:val="00721E9A"/>
    <w:rsid w:val="0072774A"/>
    <w:rsid w:val="007417E5"/>
    <w:rsid w:val="00757B8E"/>
    <w:rsid w:val="00797FE9"/>
    <w:rsid w:val="007C4320"/>
    <w:rsid w:val="007F53E3"/>
    <w:rsid w:val="00851FC0"/>
    <w:rsid w:val="00862500"/>
    <w:rsid w:val="00881A3F"/>
    <w:rsid w:val="008D5DB5"/>
    <w:rsid w:val="009079AB"/>
    <w:rsid w:val="00920A24"/>
    <w:rsid w:val="00A26A61"/>
    <w:rsid w:val="00A51251"/>
    <w:rsid w:val="00A80632"/>
    <w:rsid w:val="00AD0684"/>
    <w:rsid w:val="00AE1BEE"/>
    <w:rsid w:val="00AF7AF2"/>
    <w:rsid w:val="00B12F37"/>
    <w:rsid w:val="00B3632E"/>
    <w:rsid w:val="00B518AA"/>
    <w:rsid w:val="00B57485"/>
    <w:rsid w:val="00BA2E43"/>
    <w:rsid w:val="00C5225C"/>
    <w:rsid w:val="00C54045"/>
    <w:rsid w:val="00C92BF8"/>
    <w:rsid w:val="00CC018C"/>
    <w:rsid w:val="00CC01B5"/>
    <w:rsid w:val="00CE05DB"/>
    <w:rsid w:val="00D058ED"/>
    <w:rsid w:val="00D53A76"/>
    <w:rsid w:val="00D72ADB"/>
    <w:rsid w:val="00DE532C"/>
    <w:rsid w:val="00E33214"/>
    <w:rsid w:val="00E82F20"/>
    <w:rsid w:val="00E86B66"/>
    <w:rsid w:val="00EA25AD"/>
    <w:rsid w:val="00F60C36"/>
    <w:rsid w:val="00F6609C"/>
    <w:rsid w:val="00FA7758"/>
    <w:rsid w:val="00FC35E5"/>
    <w:rsid w:val="00FC7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91E4"/>
  <w15:docId w15:val="{2273B222-82C6-4028-A54F-7C2E9460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5F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A13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55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55F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FC55F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C55F2"/>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FC55F2"/>
    <w:pPr>
      <w:ind w:left="720"/>
      <w:contextualSpacing/>
    </w:pPr>
  </w:style>
  <w:style w:type="character" w:customStyle="1" w:styleId="Heading2Char">
    <w:name w:val="Heading 2 Char"/>
    <w:basedOn w:val="DefaultParagraphFont"/>
    <w:link w:val="Heading2"/>
    <w:uiPriority w:val="9"/>
    <w:semiHidden/>
    <w:rsid w:val="00DA13D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A13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2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BFD"/>
  </w:style>
  <w:style w:type="paragraph" w:styleId="Footer">
    <w:name w:val="footer"/>
    <w:basedOn w:val="Normal"/>
    <w:link w:val="FooterChar"/>
    <w:uiPriority w:val="99"/>
    <w:unhideWhenUsed/>
    <w:rsid w:val="00C62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BFD"/>
  </w:style>
  <w:style w:type="character" w:styleId="CommentReference">
    <w:name w:val="annotation reference"/>
    <w:basedOn w:val="DefaultParagraphFont"/>
    <w:uiPriority w:val="99"/>
    <w:semiHidden/>
    <w:unhideWhenUsed/>
    <w:rsid w:val="00C62BFD"/>
    <w:rPr>
      <w:sz w:val="16"/>
      <w:szCs w:val="16"/>
    </w:rPr>
  </w:style>
  <w:style w:type="paragraph" w:styleId="CommentText">
    <w:name w:val="annotation text"/>
    <w:basedOn w:val="Normal"/>
    <w:link w:val="CommentTextChar"/>
    <w:uiPriority w:val="99"/>
    <w:unhideWhenUsed/>
    <w:rsid w:val="00C62BFD"/>
    <w:pPr>
      <w:spacing w:line="240" w:lineRule="auto"/>
    </w:pPr>
    <w:rPr>
      <w:sz w:val="20"/>
      <w:szCs w:val="20"/>
    </w:rPr>
  </w:style>
  <w:style w:type="character" w:customStyle="1" w:styleId="CommentTextChar">
    <w:name w:val="Comment Text Char"/>
    <w:basedOn w:val="DefaultParagraphFont"/>
    <w:link w:val="CommentText"/>
    <w:uiPriority w:val="99"/>
    <w:rsid w:val="00C62BFD"/>
    <w:rPr>
      <w:sz w:val="20"/>
      <w:szCs w:val="20"/>
    </w:rPr>
  </w:style>
  <w:style w:type="paragraph" w:styleId="CommentSubject">
    <w:name w:val="annotation subject"/>
    <w:basedOn w:val="CommentText"/>
    <w:next w:val="CommentText"/>
    <w:link w:val="CommentSubjectChar"/>
    <w:uiPriority w:val="99"/>
    <w:semiHidden/>
    <w:unhideWhenUsed/>
    <w:rsid w:val="00C62BFD"/>
    <w:rPr>
      <w:b/>
      <w:bCs/>
    </w:rPr>
  </w:style>
  <w:style w:type="character" w:customStyle="1" w:styleId="CommentSubjectChar">
    <w:name w:val="Comment Subject Char"/>
    <w:basedOn w:val="CommentTextChar"/>
    <w:link w:val="CommentSubject"/>
    <w:uiPriority w:val="99"/>
    <w:semiHidden/>
    <w:rsid w:val="00C62BF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275427"/>
    <w:pPr>
      <w:spacing w:after="0" w:line="240" w:lineRule="auto"/>
    </w:pPr>
  </w:style>
  <w:style w:type="paragraph" w:styleId="FootnoteText">
    <w:name w:val="footnote text"/>
    <w:basedOn w:val="Normal"/>
    <w:link w:val="FootnoteTextChar"/>
    <w:uiPriority w:val="99"/>
    <w:semiHidden/>
    <w:unhideWhenUsed/>
    <w:rsid w:val="00C00B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B18"/>
    <w:rPr>
      <w:sz w:val="20"/>
      <w:szCs w:val="20"/>
    </w:rPr>
  </w:style>
  <w:style w:type="character" w:styleId="FootnoteReference">
    <w:name w:val="footnote reference"/>
    <w:basedOn w:val="DefaultParagraphFont"/>
    <w:uiPriority w:val="99"/>
    <w:semiHidden/>
    <w:unhideWhenUsed/>
    <w:rsid w:val="00C00B18"/>
    <w:rPr>
      <w:vertAlign w:val="superscript"/>
    </w:rPr>
  </w:style>
  <w:style w:type="paragraph" w:customStyle="1" w:styleId="pf0">
    <w:name w:val="pf0"/>
    <w:basedOn w:val="Normal"/>
    <w:rsid w:val="00B518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7FE9"/>
    <w:rPr>
      <w:b/>
      <w:bCs/>
    </w:rPr>
  </w:style>
  <w:style w:type="character" w:styleId="Hyperlink">
    <w:name w:val="Hyperlink"/>
    <w:basedOn w:val="DefaultParagraphFont"/>
    <w:uiPriority w:val="99"/>
    <w:unhideWhenUsed/>
    <w:rsid w:val="00797FE9"/>
    <w:rPr>
      <w:color w:val="0563C1" w:themeColor="hyperlink"/>
      <w:u w:val="single"/>
    </w:rPr>
  </w:style>
  <w:style w:type="character" w:styleId="UnresolvedMention">
    <w:name w:val="Unresolved Mention"/>
    <w:basedOn w:val="DefaultParagraphFont"/>
    <w:uiPriority w:val="99"/>
    <w:semiHidden/>
    <w:unhideWhenUsed/>
    <w:rsid w:val="00797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986796">
      <w:bodyDiv w:val="1"/>
      <w:marLeft w:val="0"/>
      <w:marRight w:val="0"/>
      <w:marTop w:val="0"/>
      <w:marBottom w:val="0"/>
      <w:divBdr>
        <w:top w:val="none" w:sz="0" w:space="0" w:color="auto"/>
        <w:left w:val="none" w:sz="0" w:space="0" w:color="auto"/>
        <w:bottom w:val="none" w:sz="0" w:space="0" w:color="auto"/>
        <w:right w:val="none" w:sz="0" w:space="0" w:color="auto"/>
      </w:divBdr>
      <w:divsChild>
        <w:div w:id="1269316178">
          <w:marLeft w:val="0"/>
          <w:marRight w:val="0"/>
          <w:marTop w:val="0"/>
          <w:marBottom w:val="0"/>
          <w:divBdr>
            <w:top w:val="none" w:sz="0" w:space="0" w:color="auto"/>
            <w:left w:val="none" w:sz="0" w:space="0" w:color="auto"/>
            <w:bottom w:val="none" w:sz="0" w:space="0" w:color="auto"/>
            <w:right w:val="none" w:sz="0" w:space="0" w:color="auto"/>
          </w:divBdr>
        </w:div>
        <w:div w:id="2080858827">
          <w:marLeft w:val="0"/>
          <w:marRight w:val="0"/>
          <w:marTop w:val="0"/>
          <w:marBottom w:val="0"/>
          <w:divBdr>
            <w:top w:val="none" w:sz="0" w:space="0" w:color="auto"/>
            <w:left w:val="none" w:sz="0" w:space="0" w:color="auto"/>
            <w:bottom w:val="none" w:sz="0" w:space="0" w:color="auto"/>
            <w:right w:val="none" w:sz="0" w:space="0" w:color="auto"/>
          </w:divBdr>
          <w:divsChild>
            <w:div w:id="1831680357">
              <w:marLeft w:val="0"/>
              <w:marRight w:val="0"/>
              <w:marTop w:val="0"/>
              <w:marBottom w:val="0"/>
              <w:divBdr>
                <w:top w:val="none" w:sz="0" w:space="0" w:color="auto"/>
                <w:left w:val="none" w:sz="0" w:space="0" w:color="auto"/>
                <w:bottom w:val="none" w:sz="0" w:space="0" w:color="auto"/>
                <w:right w:val="none" w:sz="0" w:space="0" w:color="auto"/>
              </w:divBdr>
              <w:divsChild>
                <w:div w:id="20214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2984">
          <w:marLeft w:val="0"/>
          <w:marRight w:val="0"/>
          <w:marTop w:val="0"/>
          <w:marBottom w:val="0"/>
          <w:divBdr>
            <w:top w:val="none" w:sz="0" w:space="0" w:color="auto"/>
            <w:left w:val="none" w:sz="0" w:space="0" w:color="auto"/>
            <w:bottom w:val="none" w:sz="0" w:space="0" w:color="auto"/>
            <w:right w:val="none" w:sz="0" w:space="0" w:color="auto"/>
          </w:divBdr>
        </w:div>
        <w:div w:id="621422550">
          <w:marLeft w:val="0"/>
          <w:marRight w:val="0"/>
          <w:marTop w:val="0"/>
          <w:marBottom w:val="0"/>
          <w:divBdr>
            <w:top w:val="none" w:sz="0" w:space="0" w:color="auto"/>
            <w:left w:val="none" w:sz="0" w:space="0" w:color="auto"/>
            <w:bottom w:val="none" w:sz="0" w:space="0" w:color="auto"/>
            <w:right w:val="none" w:sz="0" w:space="0" w:color="auto"/>
          </w:divBdr>
          <w:divsChild>
            <w:div w:id="2123181971">
              <w:marLeft w:val="0"/>
              <w:marRight w:val="0"/>
              <w:marTop w:val="0"/>
              <w:marBottom w:val="0"/>
              <w:divBdr>
                <w:top w:val="none" w:sz="0" w:space="0" w:color="auto"/>
                <w:left w:val="none" w:sz="0" w:space="0" w:color="auto"/>
                <w:bottom w:val="none" w:sz="0" w:space="0" w:color="auto"/>
                <w:right w:val="none" w:sz="0" w:space="0" w:color="auto"/>
              </w:divBdr>
              <w:divsChild>
                <w:div w:id="915817824">
                  <w:marLeft w:val="0"/>
                  <w:marRight w:val="0"/>
                  <w:marTop w:val="0"/>
                  <w:marBottom w:val="0"/>
                  <w:divBdr>
                    <w:top w:val="none" w:sz="0" w:space="0" w:color="auto"/>
                    <w:left w:val="none" w:sz="0" w:space="0" w:color="auto"/>
                    <w:bottom w:val="none" w:sz="0" w:space="0" w:color="auto"/>
                    <w:right w:val="none" w:sz="0" w:space="0" w:color="auto"/>
                  </w:divBdr>
                  <w:divsChild>
                    <w:div w:id="18712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5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ordpoolgroup.com/en/trading/Day-ahead-trading/Order-type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ordpoolgroup.com/en/trading/Rules-and-regulation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riigiteataja.ee/en/eli/529052024004/consolide" TargetMode="External"/><Relationship Id="rId4" Type="http://schemas.openxmlformats.org/officeDocument/2006/relationships/styles" Target="styles.xml"/><Relationship Id="rId9" Type="http://schemas.openxmlformats.org/officeDocument/2006/relationships/hyperlink" Target="mailto:quentin.donnette@smarten.e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YEHDVJQPlp2qg27IdAUg3nvupg==">AMUW2mV/xJLWCQzDMUHAvqCBYqCGRwIhB6Pc0Kp7mKbfV6dSHkqK9tN0odQcoAFYRcWHqPeWxzFEgheOugHd0HIBK4YN4Xxo2Ce2hCDybczm9UAZpXg604kykAml5CGcFSM8O1TAb8xT</go:docsCustomData>
</go:gDocsCustomXmlDataStorage>
</file>

<file path=customXml/itemProps1.xml><?xml version="1.0" encoding="utf-8"?>
<ds:datastoreItem xmlns:ds="http://schemas.openxmlformats.org/officeDocument/2006/customXml" ds:itemID="{3585C4D6-BA1C-45E0-98A8-D6C41656FA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Quentin Donnette</dc:creator>
  <cp:lastModifiedBy>Armin Ilisson</cp:lastModifiedBy>
  <cp:revision>28</cp:revision>
  <dcterms:created xsi:type="dcterms:W3CDTF">2024-05-24T12:25:00Z</dcterms:created>
  <dcterms:modified xsi:type="dcterms:W3CDTF">2024-05-29T13:22:00Z</dcterms:modified>
</cp:coreProperties>
</file>